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02896C60" w14:textId="033182B9" w:rsidR="006B490C" w:rsidRPr="0005053A" w:rsidRDefault="006963F6" w:rsidP="00FF2AA4">
          <w:pPr>
            <w:ind w:right="-5130"/>
            <w:jc w:val="left"/>
            <w:rPr>
              <w:b/>
              <w:bCs/>
              <w:i/>
              <w:iCs/>
              <w:color w:val="FFFFFF" w:themeColor="background1"/>
              <w:szCs w:val="32"/>
              <w:lang w:eastAsia="fr-FR"/>
            </w:rPr>
          </w:pPr>
          <w:r w:rsidRPr="0005053A">
            <w:rPr>
              <w:b/>
              <w:bCs/>
              <w:i/>
              <w:iCs/>
              <w:noProof/>
              <w:color w:val="FFFFFF" w:themeColor="background1"/>
              <w:szCs w:val="32"/>
              <w:lang w:eastAsia="fr-FR"/>
              <w14:ligatures w14:val="standardContextual"/>
            </w:rPr>
            <mc:AlternateContent>
              <mc:Choice Requires="wps">
                <w:drawing>
                  <wp:anchor distT="0" distB="0" distL="114300" distR="114300" simplePos="0" relativeHeight="251658241" behindDoc="1" locked="0" layoutInCell="1" allowOverlap="1" wp14:anchorId="3988806A" wp14:editId="43A9CB1B">
                    <wp:simplePos x="0" y="0"/>
                    <wp:positionH relativeFrom="margin">
                      <wp:posOffset>-1250191</wp:posOffset>
                    </wp:positionH>
                    <wp:positionV relativeFrom="paragraph">
                      <wp:posOffset>-1017905</wp:posOffset>
                    </wp:positionV>
                    <wp:extent cx="15960970" cy="10767695"/>
                    <wp:effectExtent l="0" t="0" r="22225" b="14605"/>
                    <wp:wrapNone/>
                    <wp:docPr id="1685577479" name="Rectangle 4"/>
                    <wp:cNvGraphicFramePr/>
                    <a:graphic xmlns:a="http://schemas.openxmlformats.org/drawingml/2006/main">
                      <a:graphicData uri="http://schemas.microsoft.com/office/word/2010/wordprocessingShape">
                        <wps:wsp>
                          <wps:cNvSpPr/>
                          <wps:spPr>
                            <a:xfrm>
                              <a:off x="0" y="0"/>
                              <a:ext cx="15960970" cy="10767695"/>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B042A6" id="Rectangle 4" o:spid="_x0000_s1026" style="position:absolute;margin-left:-98.45pt;margin-top:-80.15pt;width:1256.75pt;height:847.85pt;z-index:-25165823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" fillcolor="#2f5496 [2404]" strokecolor="#09101d [484]" strokeweight="1pt">
                    <w10:wrap anchorx="margin"/>
                  </v:rect>
                </w:pict>
              </mc:Fallback>
            </mc:AlternateContent>
          </w:r>
          <w:r w:rsidR="006B490C" w:rsidRPr="0005053A">
            <w:rPr>
              <w:b/>
              <w:bCs/>
              <w:i/>
              <w:iCs/>
              <w:color w:val="FFFFFF" w:themeColor="background1"/>
              <w:szCs w:val="32"/>
              <w:lang w:eastAsia="fr-FR"/>
            </w:rPr>
            <w:t>Module 1 : Audit de la situation juridique des personnes et des</w:t>
          </w:r>
          <w:r w:rsidR="00B75534">
            <w:rPr>
              <w:b/>
              <w:bCs/>
              <w:i/>
              <w:iCs/>
              <w:color w:val="FFFFFF" w:themeColor="background1"/>
              <w:szCs w:val="32"/>
              <w:lang w:eastAsia="fr-FR"/>
            </w:rPr>
            <w:t xml:space="preserve"> </w:t>
          </w:r>
          <w:r w:rsidR="006B490C" w:rsidRPr="0005053A">
            <w:rPr>
              <w:b/>
              <w:bCs/>
              <w:i/>
              <w:iCs/>
              <w:color w:val="FFFFFF" w:themeColor="background1"/>
              <w:szCs w:val="32"/>
              <w:lang w:eastAsia="fr-FR"/>
            </w:rPr>
            <w:t>biens et stratégies patrimoniales civiles</w:t>
          </w:r>
        </w:p>
        <w:p w14:paraId="6D0F5845" w14:textId="792510D8" w:rsidR="006B490C" w:rsidRPr="0005053A" w:rsidRDefault="006B490C" w:rsidP="006B490C">
          <w:pPr>
            <w:jc w:val="left"/>
            <w:rPr>
              <w:b/>
              <w:bCs/>
              <w:i/>
              <w:iCs/>
              <w:color w:val="FFFFFF" w:themeColor="background1"/>
              <w:szCs w:val="32"/>
              <w:lang w:eastAsia="fr-FR"/>
            </w:rPr>
          </w:pPr>
          <w:r w:rsidRPr="0005053A">
            <w:rPr>
              <w:b/>
              <w:bCs/>
              <w:i/>
              <w:iCs/>
              <w:color w:val="FFFFFF" w:themeColor="background1"/>
              <w:szCs w:val="32"/>
              <w:lang w:eastAsia="fr-FR"/>
            </w:rPr>
            <w:t xml:space="preserve">Leçon </w:t>
          </w:r>
          <w:r w:rsidR="006C4D3A">
            <w:rPr>
              <w:b/>
              <w:bCs/>
              <w:i/>
              <w:iCs/>
              <w:color w:val="FFFFFF" w:themeColor="background1"/>
              <w:szCs w:val="32"/>
              <w:lang w:eastAsia="fr-FR"/>
            </w:rPr>
            <w:t>2</w:t>
          </w:r>
          <w:r w:rsidRPr="0005053A">
            <w:rPr>
              <w:b/>
              <w:bCs/>
              <w:i/>
              <w:iCs/>
              <w:color w:val="FFFFFF" w:themeColor="background1"/>
              <w:szCs w:val="32"/>
              <w:lang w:eastAsia="fr-FR"/>
            </w:rPr>
            <w:t xml:space="preserve"> : Les actifs patrimoniaux</w:t>
          </w:r>
        </w:p>
        <w:p w14:paraId="1D4F4D04" w14:textId="77777777" w:rsidR="006B490C" w:rsidRPr="0005053A" w:rsidRDefault="006B490C" w:rsidP="009B63BE">
          <w:pPr>
            <w:pStyle w:val="CGPC-elearning"/>
            <w:rPr>
              <w:lang w:eastAsia="fr-FR"/>
            </w:rPr>
          </w:pPr>
        </w:p>
        <w:p w14:paraId="6F09D7D9" w14:textId="77777777" w:rsidR="006B490C" w:rsidRPr="006963F6" w:rsidRDefault="006B490C" w:rsidP="009B63BE">
          <w:pPr>
            <w:pStyle w:val="CGPC-elearning"/>
            <w:rPr>
              <w:lang w:eastAsia="fr-FR"/>
            </w:rPr>
          </w:pPr>
        </w:p>
        <w:p w14:paraId="163D9CDE" w14:textId="77777777" w:rsidR="006B490C" w:rsidRPr="006963F6" w:rsidRDefault="006B490C" w:rsidP="009B63BE">
          <w:pPr>
            <w:pStyle w:val="CGPC-elearning"/>
            <w:rPr>
              <w:lang w:eastAsia="fr-FR"/>
            </w:rPr>
          </w:pPr>
        </w:p>
        <w:p w14:paraId="241791B0" w14:textId="77777777" w:rsidR="006B490C" w:rsidRPr="006963F6" w:rsidRDefault="006B490C" w:rsidP="009B63BE">
          <w:pPr>
            <w:pStyle w:val="CGPC-elearning"/>
            <w:rPr>
              <w:lang w:eastAsia="fr-FR"/>
            </w:rPr>
          </w:pPr>
        </w:p>
        <w:p w14:paraId="32777F9E" w14:textId="77777777" w:rsidR="006B490C" w:rsidRPr="006963F6" w:rsidRDefault="006B490C" w:rsidP="009B63BE">
          <w:pPr>
            <w:pStyle w:val="CGPC-elearning"/>
            <w:rPr>
              <w:lang w:eastAsia="fr-FR"/>
            </w:rPr>
          </w:pPr>
        </w:p>
        <w:p w14:paraId="7C739DE8" w14:textId="77777777" w:rsidR="006B490C" w:rsidRPr="006963F6" w:rsidRDefault="006B490C" w:rsidP="009B63BE">
          <w:pPr>
            <w:pStyle w:val="CGPC-elearning"/>
            <w:rPr>
              <w:lang w:eastAsia="fr-FR"/>
            </w:rPr>
          </w:pPr>
        </w:p>
        <w:p w14:paraId="47777D69" w14:textId="77777777" w:rsidR="006B490C" w:rsidRPr="006963F6" w:rsidRDefault="006B490C" w:rsidP="009B63BE">
          <w:pPr>
            <w:pStyle w:val="CGPC-elearning"/>
            <w:rPr>
              <w:lang w:eastAsia="fr-FR"/>
            </w:rPr>
          </w:pPr>
        </w:p>
        <w:p w14:paraId="4B98C687" w14:textId="77777777" w:rsidR="006B490C" w:rsidRPr="006963F6" w:rsidRDefault="006B490C" w:rsidP="009B63BE">
          <w:pPr>
            <w:pStyle w:val="CGPC-elearning"/>
            <w:rPr>
              <w:lang w:eastAsia="fr-FR"/>
            </w:rPr>
          </w:pPr>
        </w:p>
        <w:p w14:paraId="3D2736F7" w14:textId="77777777" w:rsidR="006B490C" w:rsidRPr="006963F6" w:rsidRDefault="006B490C" w:rsidP="009B63BE">
          <w:pPr>
            <w:pStyle w:val="CGPC-elearning"/>
            <w:rPr>
              <w:lang w:eastAsia="fr-FR"/>
            </w:rPr>
          </w:pPr>
        </w:p>
        <w:p w14:paraId="43E30A0D" w14:textId="706C9326" w:rsidR="00677448" w:rsidRDefault="006B490C" w:rsidP="003927F3">
          <w:pPr>
            <w:ind w:left="-142" w:right="-10685"/>
            <w:jc w:val="left"/>
            <w:rPr>
              <w:lang w:eastAsia="fr-FR"/>
            </w:rPr>
          </w:pPr>
          <w:r w:rsidRPr="0005053A">
            <w:rPr>
              <w:b/>
              <w:bCs/>
              <w:color w:val="FFFFFF" w:themeColor="background1"/>
              <w:sz w:val="60"/>
              <w:szCs w:val="60"/>
              <w:lang w:eastAsia="fr-FR"/>
            </w:rPr>
            <w:t xml:space="preserve">Chapitre </w:t>
          </w:r>
          <w:r w:rsidR="00845966">
            <w:rPr>
              <w:b/>
              <w:bCs/>
              <w:color w:val="FFFFFF" w:themeColor="background1"/>
              <w:sz w:val="60"/>
              <w:szCs w:val="60"/>
              <w:lang w:eastAsia="fr-FR"/>
            </w:rPr>
            <w:t>4</w:t>
          </w:r>
          <w:r w:rsidRPr="0005053A">
            <w:rPr>
              <w:b/>
              <w:bCs/>
              <w:color w:val="FFFFFF" w:themeColor="background1"/>
              <w:sz w:val="60"/>
              <w:szCs w:val="60"/>
              <w:lang w:eastAsia="fr-FR"/>
            </w:rPr>
            <w:t xml:space="preserve"> : </w:t>
          </w:r>
          <w:r w:rsidR="00845966">
            <w:rPr>
              <w:b/>
              <w:bCs/>
              <w:color w:val="FFFFFF" w:themeColor="background1"/>
              <w:sz w:val="60"/>
              <w:szCs w:val="60"/>
              <w:lang w:eastAsia="fr-FR"/>
            </w:rPr>
            <w:t>Du choix des</w:t>
          </w:r>
          <w:r w:rsidRPr="0005053A">
            <w:rPr>
              <w:b/>
              <w:bCs/>
              <w:color w:val="FFFFFF" w:themeColor="background1"/>
              <w:sz w:val="60"/>
              <w:szCs w:val="60"/>
              <w:lang w:eastAsia="fr-FR"/>
            </w:rPr>
            <w:t xml:space="preserve"> modes</w:t>
          </w:r>
          <w:r w:rsidR="00A55682" w:rsidRPr="0005053A">
            <w:rPr>
              <w:b/>
              <w:bCs/>
              <w:color w:val="FFFFFF" w:themeColor="background1"/>
              <w:sz w:val="60"/>
              <w:szCs w:val="60"/>
            </w:rPr>
            <w:t xml:space="preserve"> </w:t>
          </w:r>
          <w:r w:rsidRPr="0005053A">
            <w:rPr>
              <w:b/>
              <w:bCs/>
              <w:color w:val="FFFFFF" w:themeColor="background1"/>
              <w:sz w:val="60"/>
              <w:szCs w:val="60"/>
              <w:lang w:eastAsia="fr-FR"/>
            </w:rPr>
            <w:t>de détention des actifs patrimoniaux</w:t>
          </w:r>
          <w:r w:rsidRPr="005C02E6">
            <w:rPr>
              <w:b/>
              <w:bCs/>
              <w:color w:val="FFFFFF" w:themeColor="background1"/>
              <w:lang w:eastAsia="fr-FR"/>
            </w:rPr>
            <w:t xml:space="preserve"> </w:t>
          </w:r>
          <w:r w:rsidR="00677448">
            <w:rPr>
              <w:b/>
              <w:bCs/>
              <w:lang w:eastAsia="fr-FR"/>
            </w:rPr>
            <w:br w:type="page"/>
          </w:r>
        </w:p>
      </w:sdtContent>
    </w:sdt>
    <w:sdt>
      <w:sdtPr>
        <w:rPr>
          <w:rFonts w:ascii="Open Sans" w:eastAsiaTheme="minorHAnsi" w:hAnsi="Open Sans" w:cstheme="minorBidi"/>
          <w:color w:val="auto"/>
          <w:sz w:val="28"/>
          <w:szCs w:val="22"/>
          <w:lang w:eastAsia="en-US"/>
        </w:rPr>
        <w:id w:val="-1572113972"/>
        <w:docPartObj>
          <w:docPartGallery w:val="Table of Contents"/>
          <w:docPartUnique/>
        </w:docPartObj>
      </w:sdtPr>
      <w:sdtEndPr>
        <w:rPr>
          <w:b/>
          <w:bCs/>
          <w:sz w:val="32"/>
        </w:rPr>
      </w:sdtEndPr>
      <w:sdtContent>
        <w:p w14:paraId="0D5CBDA8" w14:textId="65643A85" w:rsidR="00B637AF" w:rsidRPr="00814D9E" w:rsidRDefault="00B637AF">
          <w:pPr>
            <w:pStyle w:val="En-ttedetabledesmatires"/>
            <w:rPr>
              <w:color w:val="auto"/>
            </w:rPr>
          </w:pPr>
          <w:r w:rsidRPr="00814D9E">
            <w:rPr>
              <w:color w:val="auto"/>
            </w:rPr>
            <w:t>Table des matières</w:t>
          </w:r>
        </w:p>
        <w:p w14:paraId="02DE2B69" w14:textId="71202659" w:rsidR="00E16258" w:rsidRDefault="00B637AF">
          <w:pPr>
            <w:pStyle w:val="TM2"/>
            <w:tabs>
              <w:tab w:val="left" w:pos="720"/>
            </w:tabs>
            <w:rPr>
              <w:rFonts w:asciiTheme="minorHAnsi" w:eastAsiaTheme="minorEastAsia" w:hAnsiTheme="minorHAnsi"/>
              <w:noProof/>
              <w:kern w:val="2"/>
              <w:sz w:val="24"/>
              <w:szCs w:val="24"/>
              <w:lang w:eastAsia="fr-FR"/>
              <w14:ligatures w14:val="standardContextual"/>
            </w:rPr>
          </w:pPr>
          <w:r w:rsidRPr="00814D9E">
            <w:fldChar w:fldCharType="begin"/>
          </w:r>
          <w:r w:rsidRPr="00814D9E">
            <w:instrText xml:space="preserve"> TOC \o "1-3" \h \z \u </w:instrText>
          </w:r>
          <w:r w:rsidRPr="00814D9E">
            <w:fldChar w:fldCharType="separate"/>
          </w:r>
          <w:hyperlink w:anchor="_Toc220870949" w:history="1">
            <w:r w:rsidR="00E16258" w:rsidRPr="008A0CA0">
              <w:rPr>
                <w:rStyle w:val="Lienhypertexte"/>
                <w:noProof/>
              </w:rPr>
              <w:t>I.</w:t>
            </w:r>
            <w:r w:rsidR="00E16258">
              <w:rPr>
                <w:rFonts w:asciiTheme="minorHAnsi" w:eastAsiaTheme="minorEastAsia" w:hAnsiTheme="minorHAnsi"/>
                <w:noProof/>
                <w:kern w:val="2"/>
                <w:sz w:val="24"/>
                <w:szCs w:val="24"/>
                <w:lang w:eastAsia="fr-FR"/>
                <w14:ligatures w14:val="standardContextual"/>
              </w:rPr>
              <w:tab/>
            </w:r>
            <w:r w:rsidR="00E16258" w:rsidRPr="008A0CA0">
              <w:rPr>
                <w:rStyle w:val="Lienhypertexte"/>
                <w:noProof/>
              </w:rPr>
              <w:t>De l’intérêt de détenir des actifs via une société civile</w:t>
            </w:r>
            <w:r w:rsidR="00E16258">
              <w:rPr>
                <w:noProof/>
                <w:webHidden/>
              </w:rPr>
              <w:tab/>
            </w:r>
            <w:r w:rsidR="00E16258">
              <w:rPr>
                <w:noProof/>
                <w:webHidden/>
              </w:rPr>
              <w:fldChar w:fldCharType="begin"/>
            </w:r>
            <w:r w:rsidR="00E16258">
              <w:rPr>
                <w:noProof/>
                <w:webHidden/>
              </w:rPr>
              <w:instrText xml:space="preserve"> PAGEREF _Toc220870949 \h </w:instrText>
            </w:r>
            <w:r w:rsidR="00E16258">
              <w:rPr>
                <w:noProof/>
                <w:webHidden/>
              </w:rPr>
            </w:r>
            <w:r w:rsidR="00E16258">
              <w:rPr>
                <w:noProof/>
                <w:webHidden/>
              </w:rPr>
              <w:fldChar w:fldCharType="separate"/>
            </w:r>
            <w:r w:rsidR="00E16258">
              <w:rPr>
                <w:noProof/>
                <w:webHidden/>
              </w:rPr>
              <w:t>3</w:t>
            </w:r>
            <w:r w:rsidR="00E16258">
              <w:rPr>
                <w:noProof/>
                <w:webHidden/>
              </w:rPr>
              <w:fldChar w:fldCharType="end"/>
            </w:r>
          </w:hyperlink>
        </w:p>
        <w:p w14:paraId="2033FA78" w14:textId="44918FCA"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0" w:history="1">
            <w:r w:rsidRPr="008A0CA0">
              <w:rPr>
                <w:rStyle w:val="Lienhypertexte"/>
                <w:noProof/>
              </w:rPr>
              <w:t>1.</w:t>
            </w:r>
            <w:r>
              <w:rPr>
                <w:rFonts w:asciiTheme="minorHAnsi" w:eastAsiaTheme="minorEastAsia" w:hAnsiTheme="minorHAnsi"/>
                <w:noProof/>
                <w:kern w:val="2"/>
                <w:sz w:val="24"/>
                <w:szCs w:val="24"/>
                <w:lang w:eastAsia="fr-FR"/>
                <w14:ligatures w14:val="standardContextual"/>
              </w:rPr>
              <w:tab/>
            </w:r>
            <w:r w:rsidRPr="008A0CA0">
              <w:rPr>
                <w:rStyle w:val="Lienhypertexte"/>
                <w:noProof/>
              </w:rPr>
              <w:t>Éviter les blocages de l’indivision</w:t>
            </w:r>
            <w:r>
              <w:rPr>
                <w:noProof/>
                <w:webHidden/>
              </w:rPr>
              <w:tab/>
            </w:r>
            <w:r>
              <w:rPr>
                <w:noProof/>
                <w:webHidden/>
              </w:rPr>
              <w:fldChar w:fldCharType="begin"/>
            </w:r>
            <w:r>
              <w:rPr>
                <w:noProof/>
                <w:webHidden/>
              </w:rPr>
              <w:instrText xml:space="preserve"> PAGEREF _Toc220870950 \h </w:instrText>
            </w:r>
            <w:r>
              <w:rPr>
                <w:noProof/>
                <w:webHidden/>
              </w:rPr>
            </w:r>
            <w:r>
              <w:rPr>
                <w:noProof/>
                <w:webHidden/>
              </w:rPr>
              <w:fldChar w:fldCharType="separate"/>
            </w:r>
            <w:r>
              <w:rPr>
                <w:noProof/>
                <w:webHidden/>
              </w:rPr>
              <w:t>5</w:t>
            </w:r>
            <w:r>
              <w:rPr>
                <w:noProof/>
                <w:webHidden/>
              </w:rPr>
              <w:fldChar w:fldCharType="end"/>
            </w:r>
          </w:hyperlink>
        </w:p>
        <w:p w14:paraId="051C7E3A" w14:textId="5F3E5A7B"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1" w:history="1">
            <w:r w:rsidRPr="008A0CA0">
              <w:rPr>
                <w:rStyle w:val="Lienhypertexte"/>
                <w:noProof/>
              </w:rPr>
              <w:t>2.</w:t>
            </w:r>
            <w:r>
              <w:rPr>
                <w:rFonts w:asciiTheme="minorHAnsi" w:eastAsiaTheme="minorEastAsia" w:hAnsiTheme="minorHAnsi"/>
                <w:noProof/>
                <w:kern w:val="2"/>
                <w:sz w:val="24"/>
                <w:szCs w:val="24"/>
                <w:lang w:eastAsia="fr-FR"/>
                <w14:ligatures w14:val="standardContextual"/>
              </w:rPr>
              <w:tab/>
            </w:r>
            <w:r w:rsidRPr="008A0CA0">
              <w:rPr>
                <w:rStyle w:val="Lienhypertexte"/>
                <w:noProof/>
              </w:rPr>
              <w:t>Protéger son conjoint</w:t>
            </w:r>
            <w:r>
              <w:rPr>
                <w:noProof/>
                <w:webHidden/>
              </w:rPr>
              <w:tab/>
            </w:r>
            <w:r>
              <w:rPr>
                <w:noProof/>
                <w:webHidden/>
              </w:rPr>
              <w:fldChar w:fldCharType="begin"/>
            </w:r>
            <w:r>
              <w:rPr>
                <w:noProof/>
                <w:webHidden/>
              </w:rPr>
              <w:instrText xml:space="preserve"> PAGEREF _Toc220870951 \h </w:instrText>
            </w:r>
            <w:r>
              <w:rPr>
                <w:noProof/>
                <w:webHidden/>
              </w:rPr>
            </w:r>
            <w:r>
              <w:rPr>
                <w:noProof/>
                <w:webHidden/>
              </w:rPr>
              <w:fldChar w:fldCharType="separate"/>
            </w:r>
            <w:r>
              <w:rPr>
                <w:noProof/>
                <w:webHidden/>
              </w:rPr>
              <w:t>6</w:t>
            </w:r>
            <w:r>
              <w:rPr>
                <w:noProof/>
                <w:webHidden/>
              </w:rPr>
              <w:fldChar w:fldCharType="end"/>
            </w:r>
          </w:hyperlink>
        </w:p>
        <w:p w14:paraId="31233D21" w14:textId="112FF15F"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2" w:history="1">
            <w:r w:rsidRPr="008A0CA0">
              <w:rPr>
                <w:rStyle w:val="Lienhypertexte"/>
                <w:noProof/>
              </w:rPr>
              <w:t>3.</w:t>
            </w:r>
            <w:r>
              <w:rPr>
                <w:rFonts w:asciiTheme="minorHAnsi" w:eastAsiaTheme="minorEastAsia" w:hAnsiTheme="minorHAnsi"/>
                <w:noProof/>
                <w:kern w:val="2"/>
                <w:sz w:val="24"/>
                <w:szCs w:val="24"/>
                <w:lang w:eastAsia="fr-FR"/>
                <w14:ligatures w14:val="standardContextual"/>
              </w:rPr>
              <w:tab/>
            </w:r>
            <w:r w:rsidRPr="008A0CA0">
              <w:rPr>
                <w:rStyle w:val="Lienhypertexte"/>
                <w:noProof/>
              </w:rPr>
              <w:t>Constituer une SCI avec son épouse/époux pour le domicile conjugal ?</w:t>
            </w:r>
            <w:r>
              <w:rPr>
                <w:noProof/>
                <w:webHidden/>
              </w:rPr>
              <w:tab/>
            </w:r>
            <w:r>
              <w:rPr>
                <w:noProof/>
                <w:webHidden/>
              </w:rPr>
              <w:fldChar w:fldCharType="begin"/>
            </w:r>
            <w:r>
              <w:rPr>
                <w:noProof/>
                <w:webHidden/>
              </w:rPr>
              <w:instrText xml:space="preserve"> PAGEREF _Toc220870952 \h </w:instrText>
            </w:r>
            <w:r>
              <w:rPr>
                <w:noProof/>
                <w:webHidden/>
              </w:rPr>
            </w:r>
            <w:r>
              <w:rPr>
                <w:noProof/>
                <w:webHidden/>
              </w:rPr>
              <w:fldChar w:fldCharType="separate"/>
            </w:r>
            <w:r>
              <w:rPr>
                <w:noProof/>
                <w:webHidden/>
              </w:rPr>
              <w:t>6</w:t>
            </w:r>
            <w:r>
              <w:rPr>
                <w:noProof/>
                <w:webHidden/>
              </w:rPr>
              <w:fldChar w:fldCharType="end"/>
            </w:r>
          </w:hyperlink>
        </w:p>
        <w:p w14:paraId="2FECEE76" w14:textId="271ABB2B"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3" w:history="1">
            <w:r w:rsidRPr="008A0CA0">
              <w:rPr>
                <w:rStyle w:val="Lienhypertexte"/>
                <w:noProof/>
              </w:rPr>
              <w:t>4.</w:t>
            </w:r>
            <w:r>
              <w:rPr>
                <w:rFonts w:asciiTheme="minorHAnsi" w:eastAsiaTheme="minorEastAsia" w:hAnsiTheme="minorHAnsi"/>
                <w:noProof/>
                <w:kern w:val="2"/>
                <w:sz w:val="24"/>
                <w:szCs w:val="24"/>
                <w:lang w:eastAsia="fr-FR"/>
                <w14:ligatures w14:val="standardContextual"/>
              </w:rPr>
              <w:tab/>
            </w:r>
            <w:r w:rsidRPr="008A0CA0">
              <w:rPr>
                <w:rStyle w:val="Lienhypertexte"/>
                <w:noProof/>
              </w:rPr>
              <w:t>Protéger le conjoint survivant en cas de remariage</w:t>
            </w:r>
            <w:r>
              <w:rPr>
                <w:noProof/>
                <w:webHidden/>
              </w:rPr>
              <w:tab/>
            </w:r>
            <w:r>
              <w:rPr>
                <w:noProof/>
                <w:webHidden/>
              </w:rPr>
              <w:fldChar w:fldCharType="begin"/>
            </w:r>
            <w:r>
              <w:rPr>
                <w:noProof/>
                <w:webHidden/>
              </w:rPr>
              <w:instrText xml:space="preserve"> PAGEREF _Toc220870953 \h </w:instrText>
            </w:r>
            <w:r>
              <w:rPr>
                <w:noProof/>
                <w:webHidden/>
              </w:rPr>
            </w:r>
            <w:r>
              <w:rPr>
                <w:noProof/>
                <w:webHidden/>
              </w:rPr>
              <w:fldChar w:fldCharType="separate"/>
            </w:r>
            <w:r>
              <w:rPr>
                <w:noProof/>
                <w:webHidden/>
              </w:rPr>
              <w:t>7</w:t>
            </w:r>
            <w:r>
              <w:rPr>
                <w:noProof/>
                <w:webHidden/>
              </w:rPr>
              <w:fldChar w:fldCharType="end"/>
            </w:r>
          </w:hyperlink>
        </w:p>
        <w:p w14:paraId="2F84E5AE" w14:textId="417727C0"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4" w:history="1">
            <w:r w:rsidRPr="008A0CA0">
              <w:rPr>
                <w:rStyle w:val="Lienhypertexte"/>
                <w:noProof/>
              </w:rPr>
              <w:t>5.</w:t>
            </w:r>
            <w:r>
              <w:rPr>
                <w:rFonts w:asciiTheme="minorHAnsi" w:eastAsiaTheme="minorEastAsia" w:hAnsiTheme="minorHAnsi"/>
                <w:noProof/>
                <w:kern w:val="2"/>
                <w:sz w:val="24"/>
                <w:szCs w:val="24"/>
                <w:lang w:eastAsia="fr-FR"/>
                <w14:ligatures w14:val="standardContextual"/>
              </w:rPr>
              <w:tab/>
            </w:r>
            <w:r w:rsidRPr="008A0CA0">
              <w:rPr>
                <w:rStyle w:val="Lienhypertexte"/>
                <w:noProof/>
              </w:rPr>
              <w:t>Protéger le concubin survivant</w:t>
            </w:r>
            <w:r>
              <w:rPr>
                <w:noProof/>
                <w:webHidden/>
              </w:rPr>
              <w:tab/>
            </w:r>
            <w:r>
              <w:rPr>
                <w:noProof/>
                <w:webHidden/>
              </w:rPr>
              <w:fldChar w:fldCharType="begin"/>
            </w:r>
            <w:r>
              <w:rPr>
                <w:noProof/>
                <w:webHidden/>
              </w:rPr>
              <w:instrText xml:space="preserve"> PAGEREF _Toc220870954 \h </w:instrText>
            </w:r>
            <w:r>
              <w:rPr>
                <w:noProof/>
                <w:webHidden/>
              </w:rPr>
            </w:r>
            <w:r>
              <w:rPr>
                <w:noProof/>
                <w:webHidden/>
              </w:rPr>
              <w:fldChar w:fldCharType="separate"/>
            </w:r>
            <w:r>
              <w:rPr>
                <w:noProof/>
                <w:webHidden/>
              </w:rPr>
              <w:t>8</w:t>
            </w:r>
            <w:r>
              <w:rPr>
                <w:noProof/>
                <w:webHidden/>
              </w:rPr>
              <w:fldChar w:fldCharType="end"/>
            </w:r>
          </w:hyperlink>
        </w:p>
        <w:p w14:paraId="186C22A0" w14:textId="1BF02EA7"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5" w:history="1">
            <w:r w:rsidRPr="008A0CA0">
              <w:rPr>
                <w:rStyle w:val="Lienhypertexte"/>
                <w:noProof/>
              </w:rPr>
              <w:t>6.</w:t>
            </w:r>
            <w:r>
              <w:rPr>
                <w:rFonts w:asciiTheme="minorHAnsi" w:eastAsiaTheme="minorEastAsia" w:hAnsiTheme="minorHAnsi"/>
                <w:noProof/>
                <w:kern w:val="2"/>
                <w:sz w:val="24"/>
                <w:szCs w:val="24"/>
                <w:lang w:eastAsia="fr-FR"/>
                <w14:ligatures w14:val="standardContextual"/>
              </w:rPr>
              <w:tab/>
            </w:r>
            <w:r w:rsidRPr="008A0CA0">
              <w:rPr>
                <w:rStyle w:val="Lienhypertexte"/>
                <w:noProof/>
              </w:rPr>
              <w:t>Protéger le partenaire de PACS survivant</w:t>
            </w:r>
            <w:r>
              <w:rPr>
                <w:noProof/>
                <w:webHidden/>
              </w:rPr>
              <w:tab/>
            </w:r>
            <w:r>
              <w:rPr>
                <w:noProof/>
                <w:webHidden/>
              </w:rPr>
              <w:fldChar w:fldCharType="begin"/>
            </w:r>
            <w:r>
              <w:rPr>
                <w:noProof/>
                <w:webHidden/>
              </w:rPr>
              <w:instrText xml:space="preserve"> PAGEREF _Toc220870955 \h </w:instrText>
            </w:r>
            <w:r>
              <w:rPr>
                <w:noProof/>
                <w:webHidden/>
              </w:rPr>
            </w:r>
            <w:r>
              <w:rPr>
                <w:noProof/>
                <w:webHidden/>
              </w:rPr>
              <w:fldChar w:fldCharType="separate"/>
            </w:r>
            <w:r>
              <w:rPr>
                <w:noProof/>
                <w:webHidden/>
              </w:rPr>
              <w:t>10</w:t>
            </w:r>
            <w:r>
              <w:rPr>
                <w:noProof/>
                <w:webHidden/>
              </w:rPr>
              <w:fldChar w:fldCharType="end"/>
            </w:r>
          </w:hyperlink>
        </w:p>
        <w:p w14:paraId="07790282" w14:textId="28E0DF98"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6" w:history="1">
            <w:r w:rsidRPr="008A0CA0">
              <w:rPr>
                <w:rStyle w:val="Lienhypertexte"/>
                <w:noProof/>
              </w:rPr>
              <w:t>7.</w:t>
            </w:r>
            <w:r>
              <w:rPr>
                <w:rFonts w:asciiTheme="minorHAnsi" w:eastAsiaTheme="minorEastAsia" w:hAnsiTheme="minorHAnsi"/>
                <w:noProof/>
                <w:kern w:val="2"/>
                <w:sz w:val="24"/>
                <w:szCs w:val="24"/>
                <w:lang w:eastAsia="fr-FR"/>
                <w14:ligatures w14:val="standardContextual"/>
              </w:rPr>
              <w:tab/>
            </w:r>
            <w:r w:rsidRPr="008A0CA0">
              <w:rPr>
                <w:rStyle w:val="Lienhypertexte"/>
                <w:noProof/>
              </w:rPr>
              <w:t>Protéger une personne vulnérable</w:t>
            </w:r>
            <w:r>
              <w:rPr>
                <w:noProof/>
                <w:webHidden/>
              </w:rPr>
              <w:tab/>
            </w:r>
            <w:r>
              <w:rPr>
                <w:noProof/>
                <w:webHidden/>
              </w:rPr>
              <w:fldChar w:fldCharType="begin"/>
            </w:r>
            <w:r>
              <w:rPr>
                <w:noProof/>
                <w:webHidden/>
              </w:rPr>
              <w:instrText xml:space="preserve"> PAGEREF _Toc220870956 \h </w:instrText>
            </w:r>
            <w:r>
              <w:rPr>
                <w:noProof/>
                <w:webHidden/>
              </w:rPr>
            </w:r>
            <w:r>
              <w:rPr>
                <w:noProof/>
                <w:webHidden/>
              </w:rPr>
              <w:fldChar w:fldCharType="separate"/>
            </w:r>
            <w:r>
              <w:rPr>
                <w:noProof/>
                <w:webHidden/>
              </w:rPr>
              <w:t>10</w:t>
            </w:r>
            <w:r>
              <w:rPr>
                <w:noProof/>
                <w:webHidden/>
              </w:rPr>
              <w:fldChar w:fldCharType="end"/>
            </w:r>
          </w:hyperlink>
        </w:p>
        <w:p w14:paraId="4861F969" w14:textId="3A5B9BB2"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57" w:history="1">
            <w:r w:rsidRPr="008A0CA0">
              <w:rPr>
                <w:rStyle w:val="Lienhypertexte"/>
                <w:noProof/>
              </w:rPr>
              <w:t>8.</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Transmettre le patrimoine par donation sans ou avec démembrement de propriété</w:t>
            </w:r>
            <w:r>
              <w:rPr>
                <w:noProof/>
                <w:webHidden/>
              </w:rPr>
              <w:tab/>
            </w:r>
            <w:r>
              <w:rPr>
                <w:noProof/>
                <w:webHidden/>
              </w:rPr>
              <w:fldChar w:fldCharType="begin"/>
            </w:r>
            <w:r>
              <w:rPr>
                <w:noProof/>
                <w:webHidden/>
              </w:rPr>
              <w:instrText xml:space="preserve"> PAGEREF _Toc220870957 \h </w:instrText>
            </w:r>
            <w:r>
              <w:rPr>
                <w:noProof/>
                <w:webHidden/>
              </w:rPr>
            </w:r>
            <w:r>
              <w:rPr>
                <w:noProof/>
                <w:webHidden/>
              </w:rPr>
              <w:fldChar w:fldCharType="separate"/>
            </w:r>
            <w:r>
              <w:rPr>
                <w:noProof/>
                <w:webHidden/>
              </w:rPr>
              <w:t>12</w:t>
            </w:r>
            <w:r>
              <w:rPr>
                <w:noProof/>
                <w:webHidden/>
              </w:rPr>
              <w:fldChar w:fldCharType="end"/>
            </w:r>
          </w:hyperlink>
        </w:p>
        <w:p w14:paraId="71AA1638" w14:textId="7092F253" w:rsidR="00E16258" w:rsidRDefault="00E16258">
          <w:pPr>
            <w:pStyle w:val="TM2"/>
            <w:rPr>
              <w:rFonts w:asciiTheme="minorHAnsi" w:eastAsiaTheme="minorEastAsia" w:hAnsiTheme="minorHAnsi"/>
              <w:noProof/>
              <w:kern w:val="2"/>
              <w:sz w:val="24"/>
              <w:szCs w:val="24"/>
              <w:lang w:eastAsia="fr-FR"/>
              <w14:ligatures w14:val="standardContextual"/>
            </w:rPr>
          </w:pPr>
          <w:hyperlink w:anchor="_Toc220870958" w:history="1">
            <w:r>
              <w:rPr>
                <w:noProof/>
                <w:webHidden/>
              </w:rPr>
              <w:tab/>
            </w:r>
            <w:r>
              <w:rPr>
                <w:noProof/>
                <w:webHidden/>
              </w:rPr>
              <w:fldChar w:fldCharType="begin"/>
            </w:r>
            <w:r>
              <w:rPr>
                <w:noProof/>
                <w:webHidden/>
              </w:rPr>
              <w:instrText xml:space="preserve"> PAGEREF _Toc220870958 \h </w:instrText>
            </w:r>
            <w:r>
              <w:rPr>
                <w:noProof/>
                <w:webHidden/>
              </w:rPr>
            </w:r>
            <w:r>
              <w:rPr>
                <w:noProof/>
                <w:webHidden/>
              </w:rPr>
              <w:fldChar w:fldCharType="separate"/>
            </w:r>
            <w:r>
              <w:rPr>
                <w:noProof/>
                <w:webHidden/>
              </w:rPr>
              <w:t>15</w:t>
            </w:r>
            <w:r>
              <w:rPr>
                <w:noProof/>
                <w:webHidden/>
              </w:rPr>
              <w:fldChar w:fldCharType="end"/>
            </w:r>
          </w:hyperlink>
        </w:p>
        <w:p w14:paraId="252363D2" w14:textId="24649073" w:rsidR="00E16258" w:rsidRDefault="00E16258">
          <w:pPr>
            <w:pStyle w:val="TM2"/>
            <w:tabs>
              <w:tab w:val="left" w:pos="960"/>
            </w:tabs>
            <w:rPr>
              <w:rFonts w:asciiTheme="minorHAnsi" w:eastAsiaTheme="minorEastAsia" w:hAnsiTheme="minorHAnsi"/>
              <w:noProof/>
              <w:kern w:val="2"/>
              <w:sz w:val="24"/>
              <w:szCs w:val="24"/>
              <w:lang w:eastAsia="fr-FR"/>
              <w14:ligatures w14:val="standardContextual"/>
            </w:rPr>
          </w:pPr>
          <w:hyperlink w:anchor="_Toc220870959" w:history="1">
            <w:r w:rsidRPr="008A0CA0">
              <w:rPr>
                <w:rStyle w:val="Lienhypertexte"/>
                <w:noProof/>
              </w:rPr>
              <w:t>II.</w:t>
            </w:r>
            <w:r>
              <w:rPr>
                <w:rFonts w:asciiTheme="minorHAnsi" w:eastAsiaTheme="minorEastAsia" w:hAnsiTheme="minorHAnsi"/>
                <w:noProof/>
                <w:kern w:val="2"/>
                <w:sz w:val="24"/>
                <w:szCs w:val="24"/>
                <w:lang w:eastAsia="fr-FR"/>
                <w14:ligatures w14:val="standardContextual"/>
              </w:rPr>
              <w:tab/>
            </w:r>
            <w:r w:rsidRPr="008A0CA0">
              <w:rPr>
                <w:rStyle w:val="Lienhypertexte"/>
                <w:noProof/>
              </w:rPr>
              <w:t>De l’intérêt des contrats d’assurance vie et de capitalisation pour la transmission du capital financier</w:t>
            </w:r>
            <w:r>
              <w:rPr>
                <w:noProof/>
                <w:webHidden/>
              </w:rPr>
              <w:tab/>
            </w:r>
            <w:r>
              <w:rPr>
                <w:noProof/>
                <w:webHidden/>
              </w:rPr>
              <w:fldChar w:fldCharType="begin"/>
            </w:r>
            <w:r>
              <w:rPr>
                <w:noProof/>
                <w:webHidden/>
              </w:rPr>
              <w:instrText xml:space="preserve"> PAGEREF _Toc220870959 \h </w:instrText>
            </w:r>
            <w:r>
              <w:rPr>
                <w:noProof/>
                <w:webHidden/>
              </w:rPr>
            </w:r>
            <w:r>
              <w:rPr>
                <w:noProof/>
                <w:webHidden/>
              </w:rPr>
              <w:fldChar w:fldCharType="separate"/>
            </w:r>
            <w:r>
              <w:rPr>
                <w:noProof/>
                <w:webHidden/>
              </w:rPr>
              <w:t>15</w:t>
            </w:r>
            <w:r>
              <w:rPr>
                <w:noProof/>
                <w:webHidden/>
              </w:rPr>
              <w:fldChar w:fldCharType="end"/>
            </w:r>
          </w:hyperlink>
        </w:p>
        <w:p w14:paraId="59B94455" w14:textId="2C139FFB"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0" w:history="1">
            <w:r w:rsidRPr="008A0CA0">
              <w:rPr>
                <w:rStyle w:val="Lienhypertexte"/>
                <w:noProof/>
              </w:rPr>
              <w:t>1.</w:t>
            </w:r>
            <w:r>
              <w:rPr>
                <w:rFonts w:asciiTheme="minorHAnsi" w:eastAsiaTheme="minorEastAsia" w:hAnsiTheme="minorHAnsi"/>
                <w:noProof/>
                <w:kern w:val="2"/>
                <w:sz w:val="24"/>
                <w:szCs w:val="24"/>
                <w:lang w:eastAsia="fr-FR"/>
                <w14:ligatures w14:val="standardContextual"/>
              </w:rPr>
              <w:tab/>
            </w:r>
            <w:r w:rsidRPr="008A0CA0">
              <w:rPr>
                <w:rStyle w:val="Lienhypertexte"/>
                <w:noProof/>
              </w:rPr>
              <w:t>Les contrats d’assurance-vie</w:t>
            </w:r>
            <w:r>
              <w:rPr>
                <w:noProof/>
                <w:webHidden/>
              </w:rPr>
              <w:tab/>
            </w:r>
            <w:r>
              <w:rPr>
                <w:noProof/>
                <w:webHidden/>
              </w:rPr>
              <w:fldChar w:fldCharType="begin"/>
            </w:r>
            <w:r>
              <w:rPr>
                <w:noProof/>
                <w:webHidden/>
              </w:rPr>
              <w:instrText xml:space="preserve"> PAGEREF _Toc220870960 \h </w:instrText>
            </w:r>
            <w:r>
              <w:rPr>
                <w:noProof/>
                <w:webHidden/>
              </w:rPr>
            </w:r>
            <w:r>
              <w:rPr>
                <w:noProof/>
                <w:webHidden/>
              </w:rPr>
              <w:fldChar w:fldCharType="separate"/>
            </w:r>
            <w:r>
              <w:rPr>
                <w:noProof/>
                <w:webHidden/>
              </w:rPr>
              <w:t>17</w:t>
            </w:r>
            <w:r>
              <w:rPr>
                <w:noProof/>
                <w:webHidden/>
              </w:rPr>
              <w:fldChar w:fldCharType="end"/>
            </w:r>
          </w:hyperlink>
        </w:p>
        <w:p w14:paraId="337F50F0" w14:textId="2E401EBF"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1" w:history="1">
            <w:r w:rsidRPr="008A0CA0">
              <w:rPr>
                <w:rStyle w:val="Lienhypertexte"/>
                <w:noProof/>
              </w:rPr>
              <w:t>2.</w:t>
            </w:r>
            <w:r>
              <w:rPr>
                <w:rFonts w:asciiTheme="minorHAnsi" w:eastAsiaTheme="minorEastAsia" w:hAnsiTheme="minorHAnsi"/>
                <w:noProof/>
                <w:kern w:val="2"/>
                <w:sz w:val="24"/>
                <w:szCs w:val="24"/>
                <w:lang w:eastAsia="fr-FR"/>
                <w14:ligatures w14:val="standardContextual"/>
              </w:rPr>
              <w:tab/>
            </w:r>
            <w:r w:rsidRPr="008A0CA0">
              <w:rPr>
                <w:rStyle w:val="Lienhypertexte"/>
                <w:noProof/>
              </w:rPr>
              <w:t>Les contrats de capitalisation</w:t>
            </w:r>
            <w:r>
              <w:rPr>
                <w:noProof/>
                <w:webHidden/>
              </w:rPr>
              <w:tab/>
            </w:r>
            <w:r>
              <w:rPr>
                <w:noProof/>
                <w:webHidden/>
              </w:rPr>
              <w:fldChar w:fldCharType="begin"/>
            </w:r>
            <w:r>
              <w:rPr>
                <w:noProof/>
                <w:webHidden/>
              </w:rPr>
              <w:instrText xml:space="preserve"> PAGEREF _Toc220870961 \h </w:instrText>
            </w:r>
            <w:r>
              <w:rPr>
                <w:noProof/>
                <w:webHidden/>
              </w:rPr>
            </w:r>
            <w:r>
              <w:rPr>
                <w:noProof/>
                <w:webHidden/>
              </w:rPr>
              <w:fldChar w:fldCharType="separate"/>
            </w:r>
            <w:r>
              <w:rPr>
                <w:noProof/>
                <w:webHidden/>
              </w:rPr>
              <w:t>17</w:t>
            </w:r>
            <w:r>
              <w:rPr>
                <w:noProof/>
                <w:webHidden/>
              </w:rPr>
              <w:fldChar w:fldCharType="end"/>
            </w:r>
          </w:hyperlink>
        </w:p>
        <w:p w14:paraId="3650DBC8" w14:textId="2929EACA" w:rsidR="00E16258" w:rsidRDefault="00E16258">
          <w:pPr>
            <w:pStyle w:val="TM2"/>
            <w:tabs>
              <w:tab w:val="left" w:pos="960"/>
            </w:tabs>
            <w:rPr>
              <w:rFonts w:asciiTheme="minorHAnsi" w:eastAsiaTheme="minorEastAsia" w:hAnsiTheme="minorHAnsi"/>
              <w:noProof/>
              <w:kern w:val="2"/>
              <w:sz w:val="24"/>
              <w:szCs w:val="24"/>
              <w:lang w:eastAsia="fr-FR"/>
              <w14:ligatures w14:val="standardContextual"/>
            </w:rPr>
          </w:pPr>
          <w:hyperlink w:anchor="_Toc220870962" w:history="1">
            <w:r w:rsidRPr="008A0CA0">
              <w:rPr>
                <w:rStyle w:val="Lienhypertexte"/>
                <w:noProof/>
              </w:rPr>
              <w:t>IV.</w:t>
            </w:r>
            <w:r>
              <w:rPr>
                <w:rFonts w:asciiTheme="minorHAnsi" w:eastAsiaTheme="minorEastAsia" w:hAnsiTheme="minorHAnsi"/>
                <w:noProof/>
                <w:kern w:val="2"/>
                <w:sz w:val="24"/>
                <w:szCs w:val="24"/>
                <w:lang w:eastAsia="fr-FR"/>
                <w14:ligatures w14:val="standardContextual"/>
              </w:rPr>
              <w:tab/>
            </w:r>
            <w:r w:rsidRPr="008A0CA0">
              <w:rPr>
                <w:rStyle w:val="Lienhypertexte"/>
                <w:noProof/>
              </w:rPr>
              <w:t>Utiliser la transférabilité des enveloppes des placements financiers</w:t>
            </w:r>
            <w:r>
              <w:rPr>
                <w:noProof/>
                <w:webHidden/>
              </w:rPr>
              <w:tab/>
            </w:r>
            <w:r>
              <w:rPr>
                <w:noProof/>
                <w:webHidden/>
              </w:rPr>
              <w:fldChar w:fldCharType="begin"/>
            </w:r>
            <w:r>
              <w:rPr>
                <w:noProof/>
                <w:webHidden/>
              </w:rPr>
              <w:instrText xml:space="preserve"> PAGEREF _Toc220870962 \h </w:instrText>
            </w:r>
            <w:r>
              <w:rPr>
                <w:noProof/>
                <w:webHidden/>
              </w:rPr>
            </w:r>
            <w:r>
              <w:rPr>
                <w:noProof/>
                <w:webHidden/>
              </w:rPr>
              <w:fldChar w:fldCharType="separate"/>
            </w:r>
            <w:r>
              <w:rPr>
                <w:noProof/>
                <w:webHidden/>
              </w:rPr>
              <w:t>19</w:t>
            </w:r>
            <w:r>
              <w:rPr>
                <w:noProof/>
                <w:webHidden/>
              </w:rPr>
              <w:fldChar w:fldCharType="end"/>
            </w:r>
          </w:hyperlink>
        </w:p>
        <w:p w14:paraId="570C6444" w14:textId="354D0FB2"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3" w:history="1">
            <w:r w:rsidRPr="008A0CA0">
              <w:rPr>
                <w:rStyle w:val="Lienhypertexte"/>
                <w:noProof/>
              </w:rPr>
              <w:t>1.</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d’un PEA bancaire vers un PEA assurance (contrat de capitalisation)</w:t>
            </w:r>
            <w:r>
              <w:rPr>
                <w:noProof/>
                <w:webHidden/>
              </w:rPr>
              <w:tab/>
            </w:r>
            <w:r>
              <w:rPr>
                <w:noProof/>
                <w:webHidden/>
              </w:rPr>
              <w:fldChar w:fldCharType="begin"/>
            </w:r>
            <w:r>
              <w:rPr>
                <w:noProof/>
                <w:webHidden/>
              </w:rPr>
              <w:instrText xml:space="preserve"> PAGEREF _Toc220870963 \h </w:instrText>
            </w:r>
            <w:r>
              <w:rPr>
                <w:noProof/>
                <w:webHidden/>
              </w:rPr>
            </w:r>
            <w:r>
              <w:rPr>
                <w:noProof/>
                <w:webHidden/>
              </w:rPr>
              <w:fldChar w:fldCharType="separate"/>
            </w:r>
            <w:r>
              <w:rPr>
                <w:noProof/>
                <w:webHidden/>
              </w:rPr>
              <w:t>20</w:t>
            </w:r>
            <w:r>
              <w:rPr>
                <w:noProof/>
                <w:webHidden/>
              </w:rPr>
              <w:fldChar w:fldCharType="end"/>
            </w:r>
          </w:hyperlink>
        </w:p>
        <w:p w14:paraId="116F7207" w14:textId="458ED48D"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4" w:history="1">
            <w:r w:rsidRPr="008A0CA0">
              <w:rPr>
                <w:rStyle w:val="Lienhypertexte"/>
                <w:noProof/>
              </w:rPr>
              <w:t>2.</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d’un PEP bancaire vers un PEP assurance</w:t>
            </w:r>
            <w:r>
              <w:rPr>
                <w:noProof/>
                <w:webHidden/>
              </w:rPr>
              <w:tab/>
            </w:r>
            <w:r>
              <w:rPr>
                <w:noProof/>
                <w:webHidden/>
              </w:rPr>
              <w:fldChar w:fldCharType="begin"/>
            </w:r>
            <w:r>
              <w:rPr>
                <w:noProof/>
                <w:webHidden/>
              </w:rPr>
              <w:instrText xml:space="preserve"> PAGEREF _Toc220870964 \h </w:instrText>
            </w:r>
            <w:r>
              <w:rPr>
                <w:noProof/>
                <w:webHidden/>
              </w:rPr>
            </w:r>
            <w:r>
              <w:rPr>
                <w:noProof/>
                <w:webHidden/>
              </w:rPr>
              <w:fldChar w:fldCharType="separate"/>
            </w:r>
            <w:r>
              <w:rPr>
                <w:noProof/>
                <w:webHidden/>
              </w:rPr>
              <w:t>21</w:t>
            </w:r>
            <w:r>
              <w:rPr>
                <w:noProof/>
                <w:webHidden/>
              </w:rPr>
              <w:fldChar w:fldCharType="end"/>
            </w:r>
          </w:hyperlink>
        </w:p>
        <w:p w14:paraId="7B762A8A" w14:textId="3E65CE12"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5" w:history="1">
            <w:r w:rsidRPr="008A0CA0">
              <w:rPr>
                <w:rStyle w:val="Lienhypertexte"/>
                <w:noProof/>
              </w:rPr>
              <w:t>3.</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des anciens contrats d’épargne retraite vers un plan d’épargne retraite (PER)</w:t>
            </w:r>
            <w:r>
              <w:rPr>
                <w:noProof/>
                <w:webHidden/>
              </w:rPr>
              <w:tab/>
            </w:r>
            <w:r>
              <w:rPr>
                <w:noProof/>
                <w:webHidden/>
              </w:rPr>
              <w:fldChar w:fldCharType="begin"/>
            </w:r>
            <w:r>
              <w:rPr>
                <w:noProof/>
                <w:webHidden/>
              </w:rPr>
              <w:instrText xml:space="preserve"> PAGEREF _Toc220870965 \h </w:instrText>
            </w:r>
            <w:r>
              <w:rPr>
                <w:noProof/>
                <w:webHidden/>
              </w:rPr>
            </w:r>
            <w:r>
              <w:rPr>
                <w:noProof/>
                <w:webHidden/>
              </w:rPr>
              <w:fldChar w:fldCharType="separate"/>
            </w:r>
            <w:r>
              <w:rPr>
                <w:noProof/>
                <w:webHidden/>
              </w:rPr>
              <w:t>21</w:t>
            </w:r>
            <w:r>
              <w:rPr>
                <w:noProof/>
                <w:webHidden/>
              </w:rPr>
              <w:fldChar w:fldCharType="end"/>
            </w:r>
          </w:hyperlink>
        </w:p>
        <w:p w14:paraId="7F4AF294" w14:textId="15B0CA62"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6" w:history="1">
            <w:r w:rsidRPr="008A0CA0">
              <w:rPr>
                <w:rStyle w:val="Lienhypertexte"/>
                <w:noProof/>
              </w:rPr>
              <w:t>4.</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 PERP et du contrat Madelin vers un PER</w:t>
            </w:r>
            <w:r>
              <w:rPr>
                <w:noProof/>
                <w:webHidden/>
              </w:rPr>
              <w:tab/>
            </w:r>
            <w:r>
              <w:rPr>
                <w:noProof/>
                <w:webHidden/>
              </w:rPr>
              <w:fldChar w:fldCharType="begin"/>
            </w:r>
            <w:r>
              <w:rPr>
                <w:noProof/>
                <w:webHidden/>
              </w:rPr>
              <w:instrText xml:space="preserve"> PAGEREF _Toc220870966 \h </w:instrText>
            </w:r>
            <w:r>
              <w:rPr>
                <w:noProof/>
                <w:webHidden/>
              </w:rPr>
            </w:r>
            <w:r>
              <w:rPr>
                <w:noProof/>
                <w:webHidden/>
              </w:rPr>
              <w:fldChar w:fldCharType="separate"/>
            </w:r>
            <w:r>
              <w:rPr>
                <w:noProof/>
                <w:webHidden/>
              </w:rPr>
              <w:t>22</w:t>
            </w:r>
            <w:r>
              <w:rPr>
                <w:noProof/>
                <w:webHidden/>
              </w:rPr>
              <w:fldChar w:fldCharType="end"/>
            </w:r>
          </w:hyperlink>
        </w:p>
        <w:p w14:paraId="7949211B" w14:textId="469CEDD6"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7" w:history="1">
            <w:r w:rsidRPr="008A0CA0">
              <w:rPr>
                <w:rStyle w:val="Lienhypertexte"/>
                <w:noProof/>
              </w:rPr>
              <w:t>5.</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 PERP vers un PER</w:t>
            </w:r>
            <w:r>
              <w:rPr>
                <w:noProof/>
                <w:webHidden/>
              </w:rPr>
              <w:tab/>
            </w:r>
            <w:r>
              <w:rPr>
                <w:noProof/>
                <w:webHidden/>
              </w:rPr>
              <w:fldChar w:fldCharType="begin"/>
            </w:r>
            <w:r>
              <w:rPr>
                <w:noProof/>
                <w:webHidden/>
              </w:rPr>
              <w:instrText xml:space="preserve"> PAGEREF _Toc220870967 \h </w:instrText>
            </w:r>
            <w:r>
              <w:rPr>
                <w:noProof/>
                <w:webHidden/>
              </w:rPr>
            </w:r>
            <w:r>
              <w:rPr>
                <w:noProof/>
                <w:webHidden/>
              </w:rPr>
              <w:fldChar w:fldCharType="separate"/>
            </w:r>
            <w:r>
              <w:rPr>
                <w:noProof/>
                <w:webHidden/>
              </w:rPr>
              <w:t>22</w:t>
            </w:r>
            <w:r>
              <w:rPr>
                <w:noProof/>
                <w:webHidden/>
              </w:rPr>
              <w:fldChar w:fldCharType="end"/>
            </w:r>
          </w:hyperlink>
        </w:p>
        <w:p w14:paraId="05880711" w14:textId="43C7E256"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8" w:history="1">
            <w:r w:rsidRPr="008A0CA0">
              <w:rPr>
                <w:rStyle w:val="Lienhypertexte"/>
                <w:noProof/>
              </w:rPr>
              <w:t>6.</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d’un contrat article 83 vers un PER</w:t>
            </w:r>
            <w:r>
              <w:rPr>
                <w:noProof/>
                <w:webHidden/>
              </w:rPr>
              <w:tab/>
            </w:r>
            <w:r>
              <w:rPr>
                <w:noProof/>
                <w:webHidden/>
              </w:rPr>
              <w:fldChar w:fldCharType="begin"/>
            </w:r>
            <w:r>
              <w:rPr>
                <w:noProof/>
                <w:webHidden/>
              </w:rPr>
              <w:instrText xml:space="preserve"> PAGEREF _Toc220870968 \h </w:instrText>
            </w:r>
            <w:r>
              <w:rPr>
                <w:noProof/>
                <w:webHidden/>
              </w:rPr>
            </w:r>
            <w:r>
              <w:rPr>
                <w:noProof/>
                <w:webHidden/>
              </w:rPr>
              <w:fldChar w:fldCharType="separate"/>
            </w:r>
            <w:r>
              <w:rPr>
                <w:noProof/>
                <w:webHidden/>
              </w:rPr>
              <w:t>22</w:t>
            </w:r>
            <w:r>
              <w:rPr>
                <w:noProof/>
                <w:webHidden/>
              </w:rPr>
              <w:fldChar w:fldCharType="end"/>
            </w:r>
          </w:hyperlink>
        </w:p>
        <w:p w14:paraId="4E83CD33" w14:textId="2DB50D21" w:rsidR="00E16258" w:rsidRDefault="00E16258">
          <w:pPr>
            <w:pStyle w:val="TM3"/>
            <w:rPr>
              <w:rFonts w:asciiTheme="minorHAnsi" w:eastAsiaTheme="minorEastAsia" w:hAnsiTheme="minorHAnsi"/>
              <w:noProof/>
              <w:kern w:val="2"/>
              <w:sz w:val="24"/>
              <w:szCs w:val="24"/>
              <w:lang w:eastAsia="fr-FR"/>
              <w14:ligatures w14:val="standardContextual"/>
            </w:rPr>
          </w:pPr>
          <w:hyperlink w:anchor="_Toc220870969" w:history="1">
            <w:r w:rsidRPr="008A0CA0">
              <w:rPr>
                <w:rStyle w:val="Lienhypertexte"/>
                <w:noProof/>
              </w:rPr>
              <w:t>7.</w:t>
            </w:r>
            <w:r>
              <w:rPr>
                <w:rFonts w:asciiTheme="minorHAnsi" w:eastAsiaTheme="minorEastAsia" w:hAnsiTheme="minorHAnsi"/>
                <w:noProof/>
                <w:kern w:val="2"/>
                <w:sz w:val="24"/>
                <w:szCs w:val="24"/>
                <w:lang w:eastAsia="fr-FR"/>
                <w14:ligatures w14:val="standardContextual"/>
              </w:rPr>
              <w:tab/>
            </w:r>
            <w:r w:rsidRPr="008A0CA0">
              <w:rPr>
                <w:rStyle w:val="Lienhypertexte"/>
                <w:noProof/>
              </w:rPr>
              <w:t>Transfert d’un contrat d’assurance-vie vers un PER</w:t>
            </w:r>
            <w:r>
              <w:rPr>
                <w:noProof/>
                <w:webHidden/>
              </w:rPr>
              <w:tab/>
            </w:r>
            <w:r>
              <w:rPr>
                <w:noProof/>
                <w:webHidden/>
              </w:rPr>
              <w:fldChar w:fldCharType="begin"/>
            </w:r>
            <w:r>
              <w:rPr>
                <w:noProof/>
                <w:webHidden/>
              </w:rPr>
              <w:instrText xml:space="preserve"> PAGEREF _Toc220870969 \h </w:instrText>
            </w:r>
            <w:r>
              <w:rPr>
                <w:noProof/>
                <w:webHidden/>
              </w:rPr>
            </w:r>
            <w:r>
              <w:rPr>
                <w:noProof/>
                <w:webHidden/>
              </w:rPr>
              <w:fldChar w:fldCharType="separate"/>
            </w:r>
            <w:r>
              <w:rPr>
                <w:noProof/>
                <w:webHidden/>
              </w:rPr>
              <w:t>23</w:t>
            </w:r>
            <w:r>
              <w:rPr>
                <w:noProof/>
                <w:webHidden/>
              </w:rPr>
              <w:fldChar w:fldCharType="end"/>
            </w:r>
          </w:hyperlink>
        </w:p>
        <w:p w14:paraId="4AFD13E6" w14:textId="3163F5F2" w:rsidR="00E16258" w:rsidRDefault="00B637AF" w:rsidP="00526763">
          <w:pPr>
            <w:pStyle w:val="TM3"/>
            <w:ind w:left="0"/>
            <w:rPr>
              <w:b/>
              <w:bCs/>
            </w:rPr>
          </w:pPr>
          <w:r w:rsidRPr="00814D9E">
            <w:rPr>
              <w:b/>
              <w:bCs/>
            </w:rPr>
            <w:fldChar w:fldCharType="end"/>
          </w:r>
        </w:p>
        <w:p w14:paraId="673B1EC8" w14:textId="77777777" w:rsidR="00E16258" w:rsidRDefault="00E16258" w:rsidP="00E16258">
          <w:pPr>
            <w:pStyle w:val="CGPC-elearning"/>
          </w:pPr>
          <w:r>
            <w:lastRenderedPageBreak/>
            <w:br w:type="page"/>
          </w:r>
        </w:p>
        <w:p w14:paraId="47C2C5E0" w14:textId="69F14042" w:rsidR="00526763" w:rsidRDefault="00000000" w:rsidP="00526763">
          <w:pPr>
            <w:pStyle w:val="TM3"/>
            <w:ind w:left="0"/>
            <w:rPr>
              <w:b/>
              <w:bCs/>
            </w:rPr>
          </w:pPr>
        </w:p>
      </w:sdtContent>
    </w:sdt>
    <w:p w14:paraId="33336B8B" w14:textId="57980DA4" w:rsidR="00A36430" w:rsidRDefault="00BD6E5A" w:rsidP="0039799E">
      <w:r>
        <w:rPr>
          <w:noProof/>
          <w14:ligatures w14:val="standardContextual"/>
        </w:rPr>
        <mc:AlternateContent>
          <mc:Choice Requires="wps">
            <w:drawing>
              <wp:anchor distT="0" distB="0" distL="114300" distR="114300" simplePos="0" relativeHeight="251659267" behindDoc="1" locked="0" layoutInCell="1" allowOverlap="1" wp14:anchorId="3B82C093" wp14:editId="35EAC552">
                <wp:simplePos x="0" y="0"/>
                <wp:positionH relativeFrom="page">
                  <wp:align>right</wp:align>
                </wp:positionH>
                <wp:positionV relativeFrom="paragraph">
                  <wp:posOffset>-2600902</wp:posOffset>
                </wp:positionV>
                <wp:extent cx="15135101" cy="12112831"/>
                <wp:effectExtent l="0" t="0" r="10160" b="22225"/>
                <wp:wrapNone/>
                <wp:docPr id="1522442310" name="Rectangle 8"/>
                <wp:cNvGraphicFramePr/>
                <a:graphic xmlns:a="http://schemas.openxmlformats.org/drawingml/2006/main">
                  <a:graphicData uri="http://schemas.microsoft.com/office/word/2010/wordprocessingShape">
                    <wps:wsp>
                      <wps:cNvSpPr/>
                      <wps:spPr>
                        <a:xfrm>
                          <a:off x="0" y="0"/>
                          <a:ext cx="15135101" cy="1211283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3F7805" id="Rectangle 8" o:spid="_x0000_s1026" style="position:absolute;margin-left:1140.55pt;margin-top:-204.8pt;width:1191.75pt;height:953.75pt;z-index:-251657213;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" fillcolor="#4472c4 [3204]" strokecolor="#09101d [484]" strokeweight="1pt">
                <w10:wrap anchorx="page"/>
              </v:rect>
            </w:pict>
          </mc:Fallback>
        </mc:AlternateContent>
      </w:r>
    </w:p>
    <w:p w14:paraId="74CFCAAE" w14:textId="77777777" w:rsidR="00A36430" w:rsidRDefault="00A36430" w:rsidP="0039799E"/>
    <w:p w14:paraId="07F968FB" w14:textId="77777777" w:rsidR="00BD6E5A" w:rsidRDefault="00BD6E5A" w:rsidP="0039799E"/>
    <w:p w14:paraId="73DBDB0D" w14:textId="77777777" w:rsidR="00BD6E5A" w:rsidRDefault="00BD6E5A" w:rsidP="0039799E"/>
    <w:p w14:paraId="0AFD64AC" w14:textId="5A06F2A8" w:rsidR="0039799E" w:rsidRDefault="0039799E" w:rsidP="0039799E"/>
    <w:p w14:paraId="365A4EAA" w14:textId="77777777" w:rsidR="00BD6E5A" w:rsidRDefault="00BD6E5A" w:rsidP="00BD6E5A">
      <w:pPr>
        <w:pStyle w:val="CGPC-elearning"/>
      </w:pPr>
    </w:p>
    <w:p w14:paraId="186A7282" w14:textId="77777777" w:rsidR="00BD6E5A" w:rsidRDefault="00BD6E5A" w:rsidP="00BD6E5A">
      <w:pPr>
        <w:pStyle w:val="CGPC-elearning"/>
      </w:pPr>
    </w:p>
    <w:p w14:paraId="30598252" w14:textId="77777777" w:rsidR="00802AAF" w:rsidRDefault="00802AAF" w:rsidP="00BD6E5A">
      <w:pPr>
        <w:pStyle w:val="CGPC-elearning"/>
      </w:pPr>
    </w:p>
    <w:p w14:paraId="30809F8B" w14:textId="77777777" w:rsidR="00BD6E5A" w:rsidRPr="00BD6E5A" w:rsidRDefault="00BD6E5A" w:rsidP="00BD6E5A">
      <w:pPr>
        <w:pStyle w:val="CGPC-elearning"/>
      </w:pPr>
    </w:p>
    <w:p w14:paraId="3BA4614C" w14:textId="1DE3E6B0" w:rsidR="00194A23" w:rsidRDefault="00EF0FB5" w:rsidP="001A0554">
      <w:pPr>
        <w:pStyle w:val="Titre2"/>
      </w:pPr>
      <w:bookmarkStart w:id="0" w:name="_Toc220870949"/>
      <w:r w:rsidRPr="00144109">
        <w:t xml:space="preserve">De l’intérêt </w:t>
      </w:r>
      <w:r w:rsidR="006A2C8D" w:rsidRPr="00144109">
        <w:t xml:space="preserve">de </w:t>
      </w:r>
      <w:r w:rsidR="00E57EEF">
        <w:t>détenir des actifs</w:t>
      </w:r>
      <w:r w:rsidR="00BF090C">
        <w:t xml:space="preserve"> via</w:t>
      </w:r>
      <w:r w:rsidR="006A2C8D" w:rsidRPr="00144109">
        <w:t xml:space="preserve"> une</w:t>
      </w:r>
      <w:r w:rsidR="008D272E" w:rsidRPr="00144109">
        <w:t xml:space="preserve"> société civile</w:t>
      </w:r>
      <w:bookmarkEnd w:id="0"/>
      <w:r w:rsidR="00D07E72" w:rsidRPr="00144109">
        <w:t xml:space="preserve"> </w:t>
      </w:r>
    </w:p>
    <w:p w14:paraId="0B8C84B7" w14:textId="77777777" w:rsidR="00026648" w:rsidRDefault="00026648" w:rsidP="00026648"/>
    <w:p w14:paraId="5DA7F257" w14:textId="77777777" w:rsidR="00A36430" w:rsidRDefault="00A36430" w:rsidP="00A36430">
      <w:pPr>
        <w:pStyle w:val="CGPC-elearning"/>
      </w:pPr>
    </w:p>
    <w:p w14:paraId="6378B526" w14:textId="77777777" w:rsidR="00A36430" w:rsidRDefault="00A36430" w:rsidP="00A36430">
      <w:pPr>
        <w:pStyle w:val="CGPC-elearning"/>
      </w:pPr>
    </w:p>
    <w:p w14:paraId="75C85224" w14:textId="77777777" w:rsidR="00A36430" w:rsidRDefault="00A36430" w:rsidP="00A36430">
      <w:pPr>
        <w:pStyle w:val="CGPC-elearning"/>
      </w:pPr>
    </w:p>
    <w:p w14:paraId="397CA48F" w14:textId="77777777" w:rsidR="00A36430" w:rsidRDefault="00A36430" w:rsidP="00A36430">
      <w:pPr>
        <w:pStyle w:val="CGPC-elearning"/>
      </w:pPr>
    </w:p>
    <w:p w14:paraId="0EA9E21F" w14:textId="77777777" w:rsidR="00A36430" w:rsidRDefault="00A36430" w:rsidP="00A36430">
      <w:pPr>
        <w:pStyle w:val="CGPC-elearning"/>
      </w:pPr>
    </w:p>
    <w:p w14:paraId="36D33EF0" w14:textId="32FC1C14" w:rsidR="00A36430" w:rsidRDefault="00A36430">
      <w:pPr>
        <w:jc w:val="left"/>
        <w:rPr>
          <w:rFonts w:cs="Open Sans"/>
          <w:bCs/>
          <w:kern w:val="2"/>
          <w:szCs w:val="28"/>
          <w14:ligatures w14:val="standardContextual"/>
        </w:rPr>
      </w:pPr>
      <w:r>
        <w:br w:type="page"/>
      </w:r>
    </w:p>
    <w:p w14:paraId="416AA300" w14:textId="77777777" w:rsidR="00A36430" w:rsidRDefault="00A36430" w:rsidP="00026648">
      <w:pPr>
        <w:pStyle w:val="CGPC-elearning"/>
      </w:pPr>
    </w:p>
    <w:p w14:paraId="1B22F9E4" w14:textId="7C51F24E" w:rsidR="008D272E" w:rsidRPr="005643C5" w:rsidRDefault="008D272E" w:rsidP="009B63BE">
      <w:pPr>
        <w:pStyle w:val="CGPC-elearning"/>
        <w:rPr>
          <w:rFonts w:eastAsiaTheme="majorEastAsia"/>
          <w:sz w:val="52"/>
          <w:bdr w:val="none" w:sz="0" w:space="0" w:color="auto" w:frame="1"/>
        </w:rPr>
      </w:pPr>
      <w:r w:rsidRPr="005643C5">
        <w:t>La société civile permet de gérer et de transmettre un patrimoine constitué de valeurs mobilières ou de biens immobiliers.</w:t>
      </w:r>
    </w:p>
    <w:p w14:paraId="27D96178" w14:textId="77777777" w:rsidR="008D272E" w:rsidRPr="005643C5" w:rsidRDefault="008D272E" w:rsidP="00736C49">
      <w:pPr>
        <w:ind w:left="709"/>
        <w:rPr>
          <w:rFonts w:cs="Open Sans"/>
          <w:szCs w:val="24"/>
        </w:rPr>
      </w:pPr>
      <w:r w:rsidRPr="005643C5">
        <w:rPr>
          <w:rFonts w:cs="Open Sans"/>
          <w:szCs w:val="24"/>
        </w:rPr>
        <w:t>Elle peut avoir plusieurs objectifs :</w:t>
      </w:r>
    </w:p>
    <w:p w14:paraId="597CF090" w14:textId="2D03CAFC" w:rsidR="008D272E" w:rsidRPr="005643C5" w:rsidRDefault="008D272E" w:rsidP="00256785">
      <w:pPr>
        <w:pStyle w:val="Paragraphedeliste"/>
        <w:numPr>
          <w:ilvl w:val="0"/>
          <w:numId w:val="49"/>
        </w:numPr>
        <w:rPr>
          <w:rFonts w:cs="Open Sans"/>
          <w:szCs w:val="24"/>
        </w:rPr>
      </w:pPr>
      <w:r w:rsidRPr="005643C5">
        <w:rPr>
          <w:rFonts w:cs="Open Sans"/>
          <w:szCs w:val="24"/>
        </w:rPr>
        <w:t>éviter les blocages de l’indivision ;</w:t>
      </w:r>
    </w:p>
    <w:p w14:paraId="2925B874" w14:textId="1D033865" w:rsidR="008D272E" w:rsidRPr="005643C5" w:rsidRDefault="008D272E" w:rsidP="00256785">
      <w:pPr>
        <w:pStyle w:val="Paragraphedeliste"/>
        <w:numPr>
          <w:ilvl w:val="0"/>
          <w:numId w:val="49"/>
        </w:numPr>
        <w:rPr>
          <w:rFonts w:cs="Open Sans"/>
          <w:szCs w:val="24"/>
        </w:rPr>
      </w:pPr>
      <w:r w:rsidRPr="005643C5">
        <w:rPr>
          <w:rFonts w:cs="Open Sans"/>
          <w:szCs w:val="24"/>
        </w:rPr>
        <w:t>protéger son conjoint (épouse</w:t>
      </w:r>
      <w:r w:rsidR="007E1EAB">
        <w:rPr>
          <w:rFonts w:cs="Open Sans"/>
          <w:szCs w:val="24"/>
        </w:rPr>
        <w:t>/</w:t>
      </w:r>
      <w:proofErr w:type="gramStart"/>
      <w:r w:rsidR="007E1EAB">
        <w:rPr>
          <w:rFonts w:cs="Open Sans"/>
          <w:szCs w:val="24"/>
        </w:rPr>
        <w:t>époux</w:t>
      </w:r>
      <w:r w:rsidR="00AE4778">
        <w:rPr>
          <w:rFonts w:cs="Open Sans"/>
          <w:szCs w:val="24"/>
        </w:rPr>
        <w:t xml:space="preserve"> </w:t>
      </w:r>
      <w:r w:rsidRPr="005643C5">
        <w:rPr>
          <w:rFonts w:cs="Open Sans"/>
          <w:szCs w:val="24"/>
        </w:rPr>
        <w:t>,</w:t>
      </w:r>
      <w:proofErr w:type="gramEnd"/>
      <w:r w:rsidRPr="005643C5">
        <w:rPr>
          <w:rFonts w:cs="Open Sans"/>
          <w:szCs w:val="24"/>
        </w:rPr>
        <w:t xml:space="preserve"> concubin, partenaire de pacs) ;</w:t>
      </w:r>
    </w:p>
    <w:p w14:paraId="27220273" w14:textId="230DD8EB" w:rsidR="008D272E" w:rsidRPr="005643C5" w:rsidRDefault="008D272E" w:rsidP="00256785">
      <w:pPr>
        <w:pStyle w:val="Paragraphedeliste"/>
        <w:numPr>
          <w:ilvl w:val="0"/>
          <w:numId w:val="49"/>
        </w:numPr>
        <w:rPr>
          <w:rFonts w:cs="Open Sans"/>
          <w:szCs w:val="24"/>
        </w:rPr>
      </w:pPr>
      <w:r w:rsidRPr="005643C5">
        <w:rPr>
          <w:rFonts w:cs="Open Sans"/>
          <w:szCs w:val="24"/>
        </w:rPr>
        <w:t>protéger une personne vulnérable ;</w:t>
      </w:r>
    </w:p>
    <w:p w14:paraId="5EC4B41E" w14:textId="7C369681" w:rsidR="008D272E" w:rsidRPr="005643C5" w:rsidRDefault="008D272E" w:rsidP="00256785">
      <w:pPr>
        <w:pStyle w:val="Paragraphedeliste"/>
        <w:numPr>
          <w:ilvl w:val="0"/>
          <w:numId w:val="49"/>
        </w:numPr>
        <w:rPr>
          <w:rFonts w:cs="Open Sans"/>
          <w:szCs w:val="24"/>
        </w:rPr>
      </w:pPr>
      <w:r w:rsidRPr="005643C5">
        <w:rPr>
          <w:rFonts w:cs="Open Sans"/>
          <w:szCs w:val="24"/>
        </w:rPr>
        <w:t>transmettre son patrimoine par donations sans ou avec démembrement de propriété.</w:t>
      </w:r>
    </w:p>
    <w:p w14:paraId="765A5709" w14:textId="77777777" w:rsidR="00AE7049" w:rsidRPr="005643C5" w:rsidRDefault="00AE7049" w:rsidP="009B63BE">
      <w:pPr>
        <w:pStyle w:val="CGPC-elearning"/>
      </w:pPr>
    </w:p>
    <w:p w14:paraId="3B3EC189" w14:textId="142CB7E1" w:rsidR="008D272E" w:rsidRPr="005643C5" w:rsidRDefault="008D272E" w:rsidP="009B63BE">
      <w:pPr>
        <w:pStyle w:val="Titre3"/>
      </w:pPr>
      <w:bookmarkStart w:id="1" w:name="_Toc220870950"/>
      <w:r w:rsidRPr="005643C5">
        <w:t>Éviter les blocages de l’indivision</w:t>
      </w:r>
      <w:bookmarkEnd w:id="1"/>
    </w:p>
    <w:p w14:paraId="4DADABB1" w14:textId="77777777" w:rsidR="00AB5284" w:rsidRPr="005643C5" w:rsidRDefault="00AB5284" w:rsidP="00AB5284">
      <w:pPr>
        <w:rPr>
          <w:rFonts w:cs="Open Sans"/>
          <w:lang w:eastAsia="fr-FR"/>
        </w:rPr>
      </w:pPr>
    </w:p>
    <w:p w14:paraId="7193680D" w14:textId="77777777" w:rsidR="008D272E" w:rsidRPr="005643C5" w:rsidRDefault="008D272E" w:rsidP="009B63BE">
      <w:pPr>
        <w:pStyle w:val="CGPC-elearning"/>
      </w:pPr>
      <w:r w:rsidRPr="005643C5">
        <w:t>La société civile est fondamentalement l’outil permettant d’éviter les situations d’indivision. Même s’il est possible d’organiser l’indivision au moyen de conventions, celle-ci reste précaire au regard de la société civile qui est un mode d’organisation plus stable.</w:t>
      </w:r>
    </w:p>
    <w:p w14:paraId="3F0BBF45" w14:textId="77777777" w:rsidR="008D272E" w:rsidRPr="005643C5" w:rsidRDefault="008D272E" w:rsidP="009B63BE">
      <w:pPr>
        <w:pStyle w:val="CGPC-elearning"/>
      </w:pPr>
      <w:r w:rsidRPr="005643C5">
        <w:t>En indivision, la cession des droits des indivisaires est plus difficile que celle de parts de société civile, car tous les indivisaires ont des droits concurrents sur les mêmes biens.</w:t>
      </w:r>
    </w:p>
    <w:p w14:paraId="40B5A058" w14:textId="77777777" w:rsidR="008D272E" w:rsidRPr="005643C5" w:rsidRDefault="008D272E" w:rsidP="009B63BE">
      <w:pPr>
        <w:pStyle w:val="CGPC-elearning"/>
      </w:pPr>
      <w:r w:rsidRPr="005643C5">
        <w:t>Un indivisaire peut, à tout moment et pour tout motif, vouloir sortir de l’indivision et récupérer sa mise, selon la règle : « Nul ne peut être contraint à demeurer dans l’indivision et le partage peut toujours être provoqué ». La souplesse de gestion et le formalisme réduit de la société civile laissent aux associés une grande liberté statutaire et de fonctionnement. En principe, les cessions de parts sont soumises à l’agrément unanime des autres associés de la société civile. Par une clause d’agrément rédigée dans les statuts, les associés de la société civile peuvent s’assurer que toute vente ou donation des parts de la société sera soumise à leur approbation.</w:t>
      </w:r>
    </w:p>
    <w:p w14:paraId="12D5277D" w14:textId="77777777" w:rsidR="008D272E" w:rsidRPr="005643C5" w:rsidRDefault="008D272E" w:rsidP="009B63BE">
      <w:pPr>
        <w:pStyle w:val="CGPC-elearning"/>
      </w:pPr>
      <w:r w:rsidRPr="005643C5">
        <w:t>Dans l’indivision légale, la majorité des deux tiers des droits indivis devra être respectée pour la régularisation des actes de gestion (C. civ., art. 815-3), tandis que le gérant de la société civile agira seul pour tous les actes conformes à l’objet social. Cependant, les statuts peuvent attribuer des pouvoirs différents aux gérants statutaires.</w:t>
      </w:r>
    </w:p>
    <w:p w14:paraId="16589FE2" w14:textId="77777777" w:rsidR="008D272E" w:rsidRPr="005643C5" w:rsidRDefault="008D272E" w:rsidP="009B63BE">
      <w:pPr>
        <w:pStyle w:val="CGPC-elearning"/>
      </w:pPr>
      <w:r w:rsidRPr="005643C5">
        <w:t>Si la vente nécessite l’accord unanime des indivisaires, auquel il pourrait être substitué l’autorisation du tribunal dans certains cas, le gérant de la société civile spécialement autorisé par les statuts pourra exceptionnellement revendre l’immeuble social dès lors que l’opération est conforme à son objet.</w:t>
      </w:r>
    </w:p>
    <w:p w14:paraId="5ED0A95A" w14:textId="77777777" w:rsidR="00AE7049" w:rsidRPr="005643C5" w:rsidRDefault="00AE7049" w:rsidP="009B63BE">
      <w:pPr>
        <w:pStyle w:val="CGPC-elearning"/>
      </w:pPr>
    </w:p>
    <w:p w14:paraId="60FA60CA" w14:textId="02FC9276" w:rsidR="008D272E" w:rsidRPr="005643C5" w:rsidRDefault="008D272E" w:rsidP="009B63BE">
      <w:pPr>
        <w:pStyle w:val="Titre3"/>
        <w:rPr>
          <w:szCs w:val="36"/>
        </w:rPr>
      </w:pPr>
      <w:bookmarkStart w:id="2" w:name="_Toc220870951"/>
      <w:r w:rsidRPr="005643C5">
        <w:t>Protéger son conjoint</w:t>
      </w:r>
      <w:bookmarkEnd w:id="2"/>
    </w:p>
    <w:p w14:paraId="1E774A93" w14:textId="77777777" w:rsidR="008D272E" w:rsidRPr="005643C5" w:rsidRDefault="008D272E" w:rsidP="009B63BE">
      <w:pPr>
        <w:pStyle w:val="CGPC-elearning"/>
      </w:pPr>
    </w:p>
    <w:p w14:paraId="00600E5D" w14:textId="54C4D6F5" w:rsidR="008D272E" w:rsidRPr="005643C5" w:rsidRDefault="008D272E" w:rsidP="00D201CC">
      <w:pPr>
        <w:spacing w:after="0"/>
        <w:ind w:left="709"/>
        <w:rPr>
          <w:rFonts w:cs="Open Sans"/>
          <w:szCs w:val="28"/>
        </w:rPr>
      </w:pPr>
      <w:r w:rsidRPr="005643C5">
        <w:rPr>
          <w:rFonts w:cs="Open Sans"/>
          <w:szCs w:val="28"/>
        </w:rPr>
        <w:t>Deux époux peuvent, seuls ou avec d’autres personnes, être associés d’une société civile.</w:t>
      </w:r>
    </w:p>
    <w:p w14:paraId="0DA4A103" w14:textId="77777777" w:rsidR="008D272E" w:rsidRPr="005643C5" w:rsidRDefault="008D272E" w:rsidP="00D201CC">
      <w:pPr>
        <w:spacing w:after="0"/>
        <w:ind w:left="709"/>
        <w:rPr>
          <w:rFonts w:cs="Open Sans"/>
          <w:szCs w:val="28"/>
        </w:rPr>
      </w:pPr>
    </w:p>
    <w:p w14:paraId="0013A542" w14:textId="6145FCD6" w:rsidR="008D272E" w:rsidRPr="005643C5" w:rsidRDefault="008D272E" w:rsidP="00D201CC">
      <w:pPr>
        <w:ind w:left="709"/>
        <w:rPr>
          <w:rStyle w:val="CGPC-elearningCar"/>
        </w:rPr>
      </w:pPr>
      <w:r w:rsidRPr="005643C5">
        <w:rPr>
          <w:rStyle w:val="CGPC-elearningCar"/>
        </w:rPr>
        <w:t>La création d’une société civile peut être envisagée entre conjoints comme moyen de modifier le régime applicable aux biens qu’ils possèdent, sans pour autant changer de régime matrimonial : l’apport à la société d’un bien particulier permet aux époux de soustraire ce bien aux règles définies par leur régime matrimonial pour le soumettre aux règles qu’ils auront eux-mêmes fixées dans les statuts de la société civile.</w:t>
      </w:r>
    </w:p>
    <w:p w14:paraId="67293D2D" w14:textId="77777777" w:rsidR="00EE3EE6" w:rsidRPr="005643C5" w:rsidRDefault="00EE3EE6" w:rsidP="00AE7049">
      <w:pPr>
        <w:spacing w:after="0"/>
        <w:rPr>
          <w:rStyle w:val="CGPC-elearningCar"/>
          <w:sz w:val="28"/>
        </w:rPr>
      </w:pPr>
    </w:p>
    <w:p w14:paraId="0CB7938C" w14:textId="7646E16E" w:rsidR="008D272E" w:rsidRPr="005643C5" w:rsidRDefault="008D272E" w:rsidP="009B63BE">
      <w:pPr>
        <w:pStyle w:val="Titre3"/>
      </w:pPr>
      <w:bookmarkStart w:id="3" w:name="_Toc220870952"/>
      <w:r w:rsidRPr="005643C5">
        <w:t>Constituer une SCI avec son épouse/époux pour le domicile conjugal</w:t>
      </w:r>
      <w:r w:rsidR="00CC2650">
        <w:t> ?</w:t>
      </w:r>
      <w:bookmarkEnd w:id="3"/>
    </w:p>
    <w:p w14:paraId="177621CF" w14:textId="77777777" w:rsidR="008D272E" w:rsidRPr="005643C5" w:rsidRDefault="008D272E" w:rsidP="00AE7049">
      <w:pPr>
        <w:pStyle w:val="NormalWeb"/>
        <w:shd w:val="clear" w:color="auto" w:fill="FFFFFF"/>
        <w:spacing w:before="0" w:beforeAutospacing="0" w:after="0" w:afterAutospacing="0"/>
        <w:jc w:val="both"/>
        <w:textAlignment w:val="baseline"/>
        <w:rPr>
          <w:rFonts w:ascii="Open Sans" w:hAnsi="Open Sans" w:cs="Open Sans"/>
          <w:color w:val="666666"/>
          <w:szCs w:val="32"/>
        </w:rPr>
      </w:pPr>
    </w:p>
    <w:p w14:paraId="22A433BB" w14:textId="52E17053" w:rsidR="000E2235" w:rsidRPr="0009173E" w:rsidRDefault="008D272E" w:rsidP="009B63BE">
      <w:pPr>
        <w:pStyle w:val="CGPC-elearning"/>
      </w:pPr>
      <w:r w:rsidRPr="0009173E">
        <w:t xml:space="preserve">L’apport en </w:t>
      </w:r>
      <w:r w:rsidR="0062170A">
        <w:t>Société Civile Immobili</w:t>
      </w:r>
      <w:r w:rsidR="00A542CE">
        <w:t>ère (</w:t>
      </w:r>
      <w:r w:rsidRPr="0009173E">
        <w:t>SCI</w:t>
      </w:r>
      <w:r w:rsidR="00A542CE">
        <w:t>)</w:t>
      </w:r>
      <w:r w:rsidRPr="0009173E">
        <w:t xml:space="preserve"> du logement familial doit être envisagé avec la plus grande prudence. </w:t>
      </w:r>
    </w:p>
    <w:p w14:paraId="79A4170B" w14:textId="01408112" w:rsidR="008D272E" w:rsidRPr="0009173E" w:rsidRDefault="008D272E" w:rsidP="009B63BE">
      <w:pPr>
        <w:pStyle w:val="CGPC-elearning"/>
      </w:pPr>
      <w:r w:rsidRPr="0009173E">
        <w:t>En effet, la mise en société de ce logement a pour effet, lors du décès d’un des époux, de priver le conjoint survivant des droits que la loi lui accorde sur sa résidence principale :</w:t>
      </w:r>
    </w:p>
    <w:p w14:paraId="2714F97E" w14:textId="00552210" w:rsidR="008D272E" w:rsidRPr="0009173E" w:rsidRDefault="008D272E" w:rsidP="009B63BE">
      <w:pPr>
        <w:pStyle w:val="CGPC-elearning"/>
        <w:numPr>
          <w:ilvl w:val="0"/>
          <w:numId w:val="49"/>
        </w:numPr>
      </w:pPr>
      <w:r w:rsidRPr="0009173E">
        <w:t>le conjoint survivant ne pourra pas prétendre à la jouissance gratuite du logement pendant un an (sauf si les époux étaient locataires de la SCI) ;</w:t>
      </w:r>
    </w:p>
    <w:p w14:paraId="6AB41C88" w14:textId="719124B4" w:rsidR="008D272E" w:rsidRPr="0009173E" w:rsidRDefault="008D272E" w:rsidP="009B63BE">
      <w:pPr>
        <w:pStyle w:val="CGPC-elearning"/>
        <w:numPr>
          <w:ilvl w:val="0"/>
          <w:numId w:val="49"/>
        </w:numPr>
      </w:pPr>
      <w:r w:rsidRPr="0009173E">
        <w:t>il ne pourra pas non plus prétendre au droit viager d’habitation et d’usage sur le mobilier le garnissant.</w:t>
      </w:r>
    </w:p>
    <w:p w14:paraId="138D6FF9" w14:textId="77777777" w:rsidR="00281A8D" w:rsidRPr="0009173E" w:rsidRDefault="00281A8D" w:rsidP="009B63BE">
      <w:pPr>
        <w:pStyle w:val="CGPC-elearning"/>
      </w:pPr>
    </w:p>
    <w:p w14:paraId="1AB76B5E" w14:textId="6839FC35" w:rsidR="008D272E" w:rsidRPr="0009173E" w:rsidRDefault="008D272E" w:rsidP="009B63BE">
      <w:pPr>
        <w:pStyle w:val="CGPC-elearning"/>
      </w:pPr>
      <w:r w:rsidRPr="0009173E">
        <w:t>Le recours à une SCI pour le domicile conjugal fait perdre aux héritiers le bénéfice de l’abattement de 20 % sur la valeur de la résidence principale du défunt quand il est occupé à titre de résidence principale par le conjoint survivant, par le partenaire lié au défunt par un pacte civil de solidarité ou par un ou plusieurs enfants mineurs ou majeurs protégés du défunt, de son conjoint ou de son partenaire.</w:t>
      </w:r>
    </w:p>
    <w:p w14:paraId="7F53FA6A" w14:textId="77777777" w:rsidR="00281A8D" w:rsidRPr="005643C5" w:rsidRDefault="00281A8D" w:rsidP="009B63BE">
      <w:pPr>
        <w:pStyle w:val="CGPC-elearning"/>
      </w:pPr>
    </w:p>
    <w:p w14:paraId="099EC673" w14:textId="340D5A75" w:rsidR="008D272E" w:rsidRPr="005643C5" w:rsidRDefault="008D272E" w:rsidP="009B63BE">
      <w:pPr>
        <w:pStyle w:val="CGPC-elearning"/>
      </w:pPr>
      <w:r w:rsidRPr="005643C5">
        <w:lastRenderedPageBreak/>
        <w:t>De la même manière, la détention du domicile conjugal via une SCI entraine la perte de la décote de 30 % sur sa valeur, dans le cadre de l’IFI.</w:t>
      </w:r>
    </w:p>
    <w:p w14:paraId="3C5A5FCC" w14:textId="77777777" w:rsidR="00281A8D" w:rsidRPr="005643C5" w:rsidRDefault="00281A8D" w:rsidP="009B63BE">
      <w:pPr>
        <w:pStyle w:val="CGPC-elearning"/>
      </w:pPr>
    </w:p>
    <w:p w14:paraId="2B2FE054" w14:textId="7B282C87" w:rsidR="008D272E" w:rsidRPr="005643C5" w:rsidRDefault="008D272E" w:rsidP="009B63BE">
      <w:pPr>
        <w:pStyle w:val="CGPC-elearning"/>
      </w:pPr>
      <w:r w:rsidRPr="005643C5">
        <w:t>La constitution d’une SCI entre époux ne s’envisage dans la plupart des cas que pour la résidence secondaire, la réalisation d’investissements immobiliers locatifs ou le bien professionnel. La propriété dudit bien au travers une SCI permettra d’apporter un bien possédé en propre par un seul époux à une SCI dont les deux époux seront titulaires de parts selon une répartition à définir.</w:t>
      </w:r>
    </w:p>
    <w:p w14:paraId="7CFEAE1B" w14:textId="77777777" w:rsidR="00EE3EE6" w:rsidRPr="005643C5" w:rsidRDefault="00EE3EE6" w:rsidP="009B63BE">
      <w:pPr>
        <w:pStyle w:val="CGPC-elearning"/>
      </w:pPr>
    </w:p>
    <w:p w14:paraId="66BDB2FB" w14:textId="4F662524" w:rsidR="008D272E" w:rsidRDefault="00F15E4D" w:rsidP="009B63BE">
      <w:pPr>
        <w:pStyle w:val="Titre3"/>
      </w:pPr>
      <w:bookmarkStart w:id="4" w:name="_Toc220870953"/>
      <w:r>
        <w:t>Protéger le conjoint survivant</w:t>
      </w:r>
      <w:r w:rsidR="008D272E" w:rsidRPr="005643C5">
        <w:t xml:space="preserve"> en cas de remariage</w:t>
      </w:r>
      <w:bookmarkEnd w:id="4"/>
    </w:p>
    <w:p w14:paraId="038CDED3" w14:textId="77777777" w:rsidR="00736C49" w:rsidRPr="00736C49" w:rsidRDefault="00736C49" w:rsidP="00736C49">
      <w:pPr>
        <w:rPr>
          <w:lang w:eastAsia="fr-FR"/>
        </w:rPr>
      </w:pPr>
    </w:p>
    <w:p w14:paraId="479BFC02" w14:textId="77777777" w:rsidR="008D272E" w:rsidRPr="005643C5" w:rsidRDefault="008D272E"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688376E" w14:textId="48F0593B" w:rsidR="008D272E" w:rsidRPr="009B63BE" w:rsidRDefault="008D272E" w:rsidP="009B63BE">
      <w:pPr>
        <w:pStyle w:val="CGPC-elearning"/>
      </w:pPr>
      <w:r w:rsidRPr="009B63BE">
        <w:t>En présence d’enfants qui ne sont pas issus des deux époux (cas du remariage), le montage en SCI peut s’avérer utile, car le conjoint survivant ne peut prétendre qu’au quart du patrimoine en pleine propriété.</w:t>
      </w:r>
    </w:p>
    <w:p w14:paraId="54B6ABC6" w14:textId="77777777" w:rsidR="00D201CC" w:rsidRPr="009B63BE" w:rsidRDefault="00D201CC" w:rsidP="009B63BE">
      <w:pPr>
        <w:pStyle w:val="CGPC-elearning"/>
      </w:pPr>
    </w:p>
    <w:p w14:paraId="02C32E30" w14:textId="2A6F03E0" w:rsidR="008D272E" w:rsidRPr="009B63BE" w:rsidRDefault="008D272E" w:rsidP="009B63BE">
      <w:pPr>
        <w:pStyle w:val="CGPC-elearning"/>
      </w:pPr>
      <w:r w:rsidRPr="009B63BE">
        <w:rPr>
          <w:b/>
          <w:noProof/>
          <w:bdr w:val="none" w:sz="0" w:space="0" w:color="auto" w:frame="1"/>
        </w:rPr>
        <w:drawing>
          <wp:inline distT="0" distB="0" distL="0" distR="0" wp14:anchorId="1382DAAC" wp14:editId="150CE30C">
            <wp:extent cx="225425" cy="154305"/>
            <wp:effectExtent l="0" t="0" r="3175" b="0"/>
            <wp:docPr id="19564128" name="Image 7"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128" name="Image 7" descr="Une image contenant Graphique, graphisme, clipart, art&#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425" cy="154305"/>
                    </a:xfrm>
                    <a:prstGeom prst="rect">
                      <a:avLst/>
                    </a:prstGeom>
                    <a:noFill/>
                    <a:ln>
                      <a:noFill/>
                    </a:ln>
                  </pic:spPr>
                </pic:pic>
              </a:graphicData>
            </a:graphic>
          </wp:inline>
        </w:drawing>
      </w:r>
      <w:r w:rsidRPr="009B63BE">
        <w:rPr>
          <w:rStyle w:val="lev"/>
          <w:i/>
          <w:iCs/>
        </w:rPr>
        <w:t> </w:t>
      </w:r>
      <w:r w:rsidRPr="009B63BE">
        <w:rPr>
          <w:rStyle w:val="lev"/>
          <w:i/>
          <w:iCs/>
          <w:u w:val="single"/>
        </w:rPr>
        <w:t>Exemple :</w:t>
      </w:r>
      <w:r w:rsidRPr="009B63BE">
        <w:rPr>
          <w:rStyle w:val="lev"/>
          <w:i/>
          <w:iCs/>
        </w:rPr>
        <w:t> </w:t>
      </w:r>
      <w:r w:rsidRPr="009B63BE">
        <w:rPr>
          <w:rStyle w:val="Accentuation"/>
        </w:rPr>
        <w:t>acquérir un bien dans le cadre d’un remariage </w:t>
      </w:r>
    </w:p>
    <w:p w14:paraId="14CF95E5" w14:textId="77777777" w:rsidR="008D272E" w:rsidRPr="009B63BE" w:rsidRDefault="008D272E" w:rsidP="009B63BE">
      <w:pPr>
        <w:pStyle w:val="CGPC-elearning"/>
      </w:pPr>
      <w:r w:rsidRPr="009B63BE">
        <w:rPr>
          <w:rStyle w:val="Accentuation"/>
        </w:rPr>
        <w:t>X, 48 ans, est marié en secondes noces avec Mme Y, 34 ans.</w:t>
      </w:r>
    </w:p>
    <w:p w14:paraId="7AB63D58" w14:textId="77777777" w:rsidR="008D272E" w:rsidRPr="009B63BE" w:rsidRDefault="008D272E" w:rsidP="009B63BE">
      <w:pPr>
        <w:pStyle w:val="CGPC-elearning"/>
      </w:pPr>
      <w:r w:rsidRPr="009B63BE">
        <w:rPr>
          <w:rStyle w:val="Accentuation"/>
        </w:rPr>
        <w:t>Les époux souhaitent investir dans un appartement en bord de mer.</w:t>
      </w:r>
    </w:p>
    <w:p w14:paraId="3C5C50EE" w14:textId="77777777" w:rsidR="008D272E" w:rsidRPr="009B63BE" w:rsidRDefault="008D272E" w:rsidP="009B63BE">
      <w:pPr>
        <w:pStyle w:val="CGPC-elearning"/>
      </w:pPr>
      <w:r w:rsidRPr="009B63BE">
        <w:rPr>
          <w:rStyle w:val="Accentuation"/>
        </w:rPr>
        <w:t>X a trois enfants de son précédent mariage, âgés respectivement de 28, 26 et 24 ans. M. X souhaite que Mme Y soit protégée face à d’éventuelles difficultés qui surviendraient à son décès.</w:t>
      </w:r>
    </w:p>
    <w:p w14:paraId="3C998CF5" w14:textId="77777777" w:rsidR="008D272E" w:rsidRPr="009B63BE" w:rsidRDefault="008D272E" w:rsidP="009B63BE">
      <w:pPr>
        <w:pStyle w:val="CGPC-elearning"/>
      </w:pPr>
      <w:r w:rsidRPr="009B63BE">
        <w:rPr>
          <w:rStyle w:val="Accentuation"/>
        </w:rPr>
        <w:t>La constitution d’une SCI qui achètera l’appartement permettra d’atteindre cet objectif :</w:t>
      </w:r>
    </w:p>
    <w:p w14:paraId="69C16C51" w14:textId="77777777" w:rsidR="008D272E" w:rsidRPr="009B63BE" w:rsidRDefault="008D272E" w:rsidP="009B63BE">
      <w:pPr>
        <w:pStyle w:val="CGPC-elearning"/>
      </w:pPr>
      <w:r w:rsidRPr="009B63BE">
        <w:rPr>
          <w:rStyle w:val="Accentuation"/>
        </w:rPr>
        <w:t>en effectuant des apports à la SCI par Mme Y à hauteur de plus de 75 % des parts (si les statuts prévoient que les décisions les plus importantes doivent être prises en assemblée à une majorité des trois quarts) ;</w:t>
      </w:r>
    </w:p>
    <w:p w14:paraId="3C654D0C" w14:textId="77777777" w:rsidR="008D272E" w:rsidRPr="009B63BE" w:rsidRDefault="008D272E" w:rsidP="009B63BE">
      <w:pPr>
        <w:pStyle w:val="CGPC-elearning"/>
      </w:pPr>
      <w:r w:rsidRPr="009B63BE">
        <w:rPr>
          <w:rStyle w:val="Accentuation"/>
        </w:rPr>
        <w:t>en désignant Mme Y comme gérante statutaire.</w:t>
      </w:r>
    </w:p>
    <w:p w14:paraId="1549953C" w14:textId="77777777" w:rsidR="008D272E" w:rsidRPr="009B63BE" w:rsidRDefault="008D272E" w:rsidP="009B63BE">
      <w:pPr>
        <w:pStyle w:val="CGPC-elearning"/>
      </w:pPr>
      <w:r w:rsidRPr="009B63BE">
        <w:rPr>
          <w:rStyle w:val="Accentuation"/>
        </w:rPr>
        <w:t>Ainsi, au décès de M. X, ses trois enfants n’auront des droits que sur les parts ayant appartenu à leur père. Mme Y, qui conservera la majorité absolue des droits de vote ainsi que la gérance, sera assurée de pouvoir continuer à gérer la SCI comme elle l’entend.</w:t>
      </w:r>
    </w:p>
    <w:p w14:paraId="42EEEA66" w14:textId="77777777" w:rsidR="008D272E" w:rsidRPr="009B63BE" w:rsidRDefault="008D272E" w:rsidP="009B63BE">
      <w:pPr>
        <w:pStyle w:val="CGPC-elearning"/>
        <w:rPr>
          <w:rStyle w:val="Accentuation"/>
        </w:rPr>
      </w:pPr>
      <w:r w:rsidRPr="009B63BE">
        <w:rPr>
          <w:rStyle w:val="Accentuation"/>
        </w:rPr>
        <w:lastRenderedPageBreak/>
        <w:t>Si l’appartement est donné en location, la SCI pourra chaque année distribuer ses revenus, ce qui constituera pour Mme Y une source de revenu. Si elle le désire, Mme</w:t>
      </w:r>
      <w:r w:rsidRPr="009B63BE">
        <w:t> Y </w:t>
      </w:r>
      <w:r w:rsidRPr="009B63BE">
        <w:rPr>
          <w:rStyle w:val="Accentuation"/>
        </w:rPr>
        <w:t>pourra continuer à occuper l’appartement et en décider la vente si elle souhaite s’en dessaisir.</w:t>
      </w:r>
    </w:p>
    <w:p w14:paraId="3EEC42F1" w14:textId="77777777" w:rsidR="00EE3EE6" w:rsidRPr="005643C5" w:rsidRDefault="00EE3EE6" w:rsidP="009B63BE">
      <w:pPr>
        <w:pStyle w:val="CGPC-elearning"/>
      </w:pPr>
    </w:p>
    <w:p w14:paraId="62A32F75" w14:textId="6E9E486B" w:rsidR="008D272E" w:rsidRPr="005643C5" w:rsidRDefault="00EB65F9" w:rsidP="009B63BE">
      <w:pPr>
        <w:pStyle w:val="Titre3"/>
      </w:pPr>
      <w:bookmarkStart w:id="5" w:name="_Toc220870954"/>
      <w:r>
        <w:t>Protéger le</w:t>
      </w:r>
      <w:r w:rsidR="008D272E" w:rsidRPr="005643C5">
        <w:t xml:space="preserve"> concubin</w:t>
      </w:r>
      <w:r>
        <w:t xml:space="preserve"> survivant</w:t>
      </w:r>
      <w:bookmarkEnd w:id="5"/>
    </w:p>
    <w:p w14:paraId="1749A874" w14:textId="77777777" w:rsidR="008D272E" w:rsidRPr="005643C5" w:rsidRDefault="008D272E"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B07EE03" w14:textId="77777777" w:rsidR="00AE7049" w:rsidRPr="005A02BA" w:rsidRDefault="00AE7049" w:rsidP="009B63BE">
      <w:pPr>
        <w:pStyle w:val="CGPC-elearning"/>
      </w:pPr>
    </w:p>
    <w:p w14:paraId="296084A1" w14:textId="32254655" w:rsidR="008D272E" w:rsidRPr="009B63BE" w:rsidRDefault="008D272E" w:rsidP="009B63BE">
      <w:pPr>
        <w:pStyle w:val="CGPC-elearning"/>
      </w:pPr>
      <w:r w:rsidRPr="009B63BE">
        <w:t>La SCI est un outil judicieux pour des concubins (non pacsés), tant pour l’achat de la résidence secondaire que pour l’achat de leur résidence principale.</w:t>
      </w:r>
    </w:p>
    <w:p w14:paraId="6C270573" w14:textId="77777777" w:rsidR="00736C49" w:rsidRPr="009B63BE" w:rsidRDefault="00736C49" w:rsidP="009B63BE">
      <w:pPr>
        <w:pStyle w:val="CGPC-elearning"/>
      </w:pPr>
    </w:p>
    <w:p w14:paraId="76CCE841" w14:textId="77777777" w:rsidR="008D272E" w:rsidRPr="009B63BE" w:rsidRDefault="008D272E" w:rsidP="009B63BE">
      <w:pPr>
        <w:pStyle w:val="CGPC-elearning"/>
      </w:pPr>
      <w:r w:rsidRPr="009B63BE">
        <w:t>Lorsque les concubins achètent en direct leur logement, ils le font généralement en indivision. Au décès de l’un d’eux, le survivant se retrouve en indivision avec les héritiers du premier. Si, par testament, le concubin décédé a légué au survivant ses droits dans l’indivision (legs qui pourrait être réduit en présence d’enfants), les droits de succession sur la part transmise seront dus au taux de 60 %, au-delà d’un abattement de 1 594 €.</w:t>
      </w:r>
    </w:p>
    <w:p w14:paraId="61DCFDA0" w14:textId="77777777" w:rsidR="00736C49" w:rsidRPr="009B63BE" w:rsidRDefault="00736C49" w:rsidP="009B63BE">
      <w:pPr>
        <w:pStyle w:val="CGPC-elearning"/>
      </w:pPr>
    </w:p>
    <w:p w14:paraId="2DF708AA" w14:textId="77777777" w:rsidR="008D272E" w:rsidRPr="009B63BE" w:rsidRDefault="008D272E" w:rsidP="009B63BE">
      <w:pPr>
        <w:pStyle w:val="CGPC-elearning"/>
      </w:pPr>
      <w:r w:rsidRPr="009B63BE">
        <w:t>Ce problème peut être réglé par l’apport du bien immobilier à une SCI et l’insertion d’une clause de démembrement croisé des parts sociales dans les statuts.</w:t>
      </w:r>
    </w:p>
    <w:p w14:paraId="30CB2EE9" w14:textId="77777777" w:rsidR="00736C49" w:rsidRPr="009B63BE" w:rsidRDefault="00736C49" w:rsidP="009B63BE">
      <w:pPr>
        <w:pStyle w:val="CGPC-elearning"/>
      </w:pPr>
    </w:p>
    <w:p w14:paraId="79142FC1" w14:textId="77777777" w:rsidR="008D272E" w:rsidRPr="009B63BE" w:rsidRDefault="008D272E" w:rsidP="009B63BE">
      <w:pPr>
        <w:pStyle w:val="CGPC-elearning"/>
      </w:pPr>
      <w:r w:rsidRPr="009B63BE">
        <w:t>Dans le cadre d’un démembrement croisé des parts sociales d’une SCI, chaque associé est nu-propriétaire d’une partie (par exemple, la moitié des parts) et usufruitier de l’autre partie (l’autre moitié).</w:t>
      </w:r>
    </w:p>
    <w:p w14:paraId="32EC914B" w14:textId="77777777" w:rsidR="00736C49" w:rsidRPr="009B63BE" w:rsidRDefault="00736C49" w:rsidP="009B63BE">
      <w:pPr>
        <w:pStyle w:val="CGPC-elearning"/>
      </w:pPr>
    </w:p>
    <w:p w14:paraId="167902B1" w14:textId="6BD79DAD" w:rsidR="008D272E" w:rsidRPr="009B63BE" w:rsidRDefault="008D272E" w:rsidP="009B63BE">
      <w:pPr>
        <w:pStyle w:val="CGPC-elearning"/>
      </w:pPr>
      <w:r w:rsidRPr="009B63BE">
        <w:rPr>
          <w:noProof/>
        </w:rPr>
        <w:drawing>
          <wp:inline distT="0" distB="0" distL="0" distR="0" wp14:anchorId="1E0BC24B" wp14:editId="79AC8E2F">
            <wp:extent cx="225425" cy="154305"/>
            <wp:effectExtent l="0" t="0" r="3175" b="0"/>
            <wp:docPr id="1993596882" name="Image 6"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596882" name="Image 6" descr="Une image contenant Graphique, graphisme, clipart, art&#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425" cy="154305"/>
                    </a:xfrm>
                    <a:prstGeom prst="rect">
                      <a:avLst/>
                    </a:prstGeom>
                    <a:noFill/>
                    <a:ln>
                      <a:noFill/>
                    </a:ln>
                  </pic:spPr>
                </pic:pic>
              </a:graphicData>
            </a:graphic>
          </wp:inline>
        </w:drawing>
      </w:r>
      <w:r w:rsidRPr="009B63BE">
        <w:rPr>
          <w:rStyle w:val="lev"/>
          <w:b w:val="0"/>
          <w:bCs/>
        </w:rPr>
        <w:t> Exemple :</w:t>
      </w:r>
      <w:r w:rsidRPr="009B63BE">
        <w:rPr>
          <w:rStyle w:val="Accentuation"/>
          <w:i w:val="0"/>
          <w:iCs w:val="0"/>
        </w:rPr>
        <w:t> Laura et Dany constituent une SCI dotée de 100 parts </w:t>
      </w:r>
    </w:p>
    <w:p w14:paraId="3B68F247" w14:textId="77777777" w:rsidR="008D272E" w:rsidRPr="009B63BE" w:rsidRDefault="008D272E" w:rsidP="009B63BE">
      <w:pPr>
        <w:pStyle w:val="CGPC-elearning"/>
      </w:pPr>
      <w:r w:rsidRPr="009B63BE">
        <w:rPr>
          <w:rStyle w:val="Accentuation"/>
          <w:i w:val="0"/>
          <w:iCs w:val="0"/>
        </w:rPr>
        <w:t>Laura possède 50 parts numérotées de 1 à 50 en nue-propriété et 50 parts numérotées de 51 à 100 en usufruit ;</w:t>
      </w:r>
    </w:p>
    <w:p w14:paraId="44236D8D" w14:textId="77777777" w:rsidR="008D272E" w:rsidRPr="009B63BE" w:rsidRDefault="008D272E" w:rsidP="009B63BE">
      <w:pPr>
        <w:pStyle w:val="CGPC-elearning"/>
      </w:pPr>
      <w:r w:rsidRPr="009B63BE">
        <w:rPr>
          <w:rStyle w:val="Accentuation"/>
          <w:i w:val="0"/>
          <w:iCs w:val="0"/>
        </w:rPr>
        <w:t>Inversement Dany possède 50 parts numérotées de 1 à 50 en usufruit et 50 parts numérotées de 51 à 100 en nue-propriété.</w:t>
      </w:r>
    </w:p>
    <w:p w14:paraId="1E2E994F" w14:textId="52371726" w:rsidR="008D272E" w:rsidRDefault="008D272E" w:rsidP="009B63BE">
      <w:pPr>
        <w:pStyle w:val="CGPC-elearning"/>
      </w:pPr>
      <w:r>
        <w:rPr>
          <w:noProof/>
        </w:rPr>
        <w:lastRenderedPageBreak/>
        <w:drawing>
          <wp:inline distT="0" distB="0" distL="0" distR="0" wp14:anchorId="44296780" wp14:editId="79BC91ED">
            <wp:extent cx="4203065" cy="3397250"/>
            <wp:effectExtent l="0" t="0" r="6985" b="0"/>
            <wp:docPr id="1841866816" name="Image 5" descr="Une image contenant texte, capture d’écran, Polic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866816" name="Image 5" descr="Une image contenant texte, capture d’écran, Police, diagramme&#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03065" cy="3397250"/>
                    </a:xfrm>
                    <a:prstGeom prst="rect">
                      <a:avLst/>
                    </a:prstGeom>
                    <a:noFill/>
                    <a:ln>
                      <a:noFill/>
                    </a:ln>
                  </pic:spPr>
                </pic:pic>
              </a:graphicData>
            </a:graphic>
          </wp:inline>
        </w:drawing>
      </w:r>
    </w:p>
    <w:p w14:paraId="6F153AAA" w14:textId="77777777" w:rsidR="00545412" w:rsidRDefault="00545412" w:rsidP="009B63BE">
      <w:pPr>
        <w:pStyle w:val="CGPC-elearning"/>
        <w:rPr>
          <w:rStyle w:val="Accentuation"/>
          <w:i w:val="0"/>
          <w:iCs w:val="0"/>
        </w:rPr>
      </w:pPr>
    </w:p>
    <w:p w14:paraId="7CBC326E" w14:textId="3201187D" w:rsidR="008D272E" w:rsidRPr="009B63BE" w:rsidRDefault="008D272E" w:rsidP="009B63BE">
      <w:pPr>
        <w:pStyle w:val="CGPC-elearning"/>
      </w:pPr>
      <w:r w:rsidRPr="009B63BE">
        <w:rPr>
          <w:rStyle w:val="Accentuation"/>
          <w:i w:val="0"/>
          <w:iCs w:val="0"/>
        </w:rPr>
        <w:t>En cas de décès de l’usufruitier, l’usufruit rejoint la nue-propriété ; le nu-propriétaire devient alors plein propriétaire.</w:t>
      </w:r>
    </w:p>
    <w:p w14:paraId="5AE791C8" w14:textId="77777777" w:rsidR="008D272E" w:rsidRPr="009B63BE" w:rsidRDefault="008D272E" w:rsidP="009B63BE">
      <w:pPr>
        <w:pStyle w:val="CGPC-elearning"/>
      </w:pPr>
      <w:r w:rsidRPr="009B63BE">
        <w:rPr>
          <w:rStyle w:val="Accentuation"/>
          <w:i w:val="0"/>
          <w:iCs w:val="0"/>
        </w:rPr>
        <w:t>Au décès du premier concubin, par exemple Dany, Laura, qui est déjà propriétaire des 50 parts numérotées de 1 à 50 en nue-propriété, recevra sans payer de droits de succession l’usufruit des 50 parts de Dany numérotées de 1 à 50. Elle devient donc pleine propriétaire des parts numérotées de 1 à 50. Les ayants droit de Dany héritent de la nue-propriété des parts 51 à 100, que possédait Dany.</w:t>
      </w:r>
    </w:p>
    <w:p w14:paraId="00D08E2F" w14:textId="77777777" w:rsidR="008D272E" w:rsidRPr="009B63BE" w:rsidRDefault="008D272E" w:rsidP="009B63BE">
      <w:pPr>
        <w:pStyle w:val="CGPC-elearning"/>
      </w:pPr>
      <w:r w:rsidRPr="009B63BE">
        <w:rPr>
          <w:rStyle w:val="Accentuation"/>
          <w:i w:val="0"/>
          <w:iCs w:val="0"/>
        </w:rPr>
        <w:t>Laura détient donc la jouissance entière du bien immobilier (ses 50 parts en pleine propriété et ses 50 parts en usufruit) : elle peut y rester ou le louer et en percevoir les revenus. </w:t>
      </w:r>
    </w:p>
    <w:p w14:paraId="5BEB6376" w14:textId="1FC9CB4F" w:rsidR="00545412" w:rsidRPr="009B63BE" w:rsidRDefault="008D272E" w:rsidP="009B63BE">
      <w:pPr>
        <w:pStyle w:val="CGPC-elearning"/>
        <w:rPr>
          <w:rStyle w:val="Accentuation"/>
          <w:i w:val="0"/>
          <w:iCs w:val="0"/>
        </w:rPr>
      </w:pPr>
      <w:r w:rsidRPr="009B63BE">
        <w:rPr>
          <w:rStyle w:val="Accentuation"/>
          <w:i w:val="0"/>
          <w:iCs w:val="0"/>
        </w:rPr>
        <w:t>Ce montage permet de protéger son concubin avec un coût fiscal intéressant. Toutefois, si ce montage est favorable en matière de succession, il peut se révéler dangereux en cas de séparation. En effet, lors d’un partage avec soulte de parts de SCI entre concubins (non pacsés), la plus-value réalisée par le concubin attributaire des parts et de la soulte sera soumise à l’impôt sur le revenu et aux prélèvements sociaux dans les conditions de droit commun.</w:t>
      </w:r>
    </w:p>
    <w:p w14:paraId="1B895039" w14:textId="77777777" w:rsidR="00545412" w:rsidRDefault="00545412" w:rsidP="009B63BE">
      <w:pPr>
        <w:pStyle w:val="CGPC-elearning"/>
        <w:rPr>
          <w:rStyle w:val="Accentuation"/>
          <w:bCs w:val="0"/>
          <w:i w:val="0"/>
          <w:iCs w:val="0"/>
        </w:rPr>
      </w:pPr>
      <w:r>
        <w:rPr>
          <w:rStyle w:val="Accentuation"/>
          <w:i w:val="0"/>
          <w:iCs w:val="0"/>
        </w:rPr>
        <w:br w:type="page"/>
      </w:r>
    </w:p>
    <w:p w14:paraId="70537D28" w14:textId="6ED566B6" w:rsidR="008D272E" w:rsidRDefault="00EB65F9" w:rsidP="009B63BE">
      <w:pPr>
        <w:pStyle w:val="Titre3"/>
      </w:pPr>
      <w:bookmarkStart w:id="6" w:name="_Toc220870955"/>
      <w:r>
        <w:lastRenderedPageBreak/>
        <w:t>Protéger le</w:t>
      </w:r>
      <w:r w:rsidR="008D272E">
        <w:t xml:space="preserve"> partenaire de </w:t>
      </w:r>
      <w:r w:rsidR="0081277B">
        <w:t>PACS</w:t>
      </w:r>
      <w:r>
        <w:t xml:space="preserve"> survivant</w:t>
      </w:r>
      <w:bookmarkEnd w:id="6"/>
    </w:p>
    <w:p w14:paraId="78AF70BB" w14:textId="77777777" w:rsidR="008D272E" w:rsidRDefault="008D272E"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EFE057C" w14:textId="77777777" w:rsidR="00AE7049" w:rsidRDefault="00AE7049" w:rsidP="009B63BE">
      <w:pPr>
        <w:pStyle w:val="CGPC-elearning"/>
      </w:pPr>
    </w:p>
    <w:p w14:paraId="4DF56449" w14:textId="23E696F1" w:rsidR="008D272E" w:rsidRPr="009B63BE" w:rsidRDefault="008D272E" w:rsidP="009B63BE">
      <w:pPr>
        <w:pStyle w:val="CGPC-elearning"/>
      </w:pPr>
      <w:r w:rsidRPr="009B63BE">
        <w:t>Les partenaires pacsés bénéficient d’une exonération totale des droits de succession (</w:t>
      </w:r>
      <w:r w:rsidR="009A18C3">
        <w:t>si des</w:t>
      </w:r>
      <w:r w:rsidRPr="009B63BE">
        <w:t xml:space="preserve"> testament</w:t>
      </w:r>
      <w:r w:rsidR="009A18C3">
        <w:t>s ont été formalisés</w:t>
      </w:r>
      <w:r w:rsidRPr="009B63BE">
        <w:t>). La mise en société du logement familial a pour effet de priver le partenaire de la jouissance gratuite du logement l’année suivant le décès.</w:t>
      </w:r>
    </w:p>
    <w:p w14:paraId="548FF97F" w14:textId="77777777" w:rsidR="00736C49" w:rsidRPr="009B63BE" w:rsidRDefault="00736C49" w:rsidP="009B63BE">
      <w:pPr>
        <w:pStyle w:val="CGPC-elearning"/>
      </w:pPr>
    </w:p>
    <w:p w14:paraId="54B5A2BF" w14:textId="77777777" w:rsidR="00A52495" w:rsidRDefault="008D272E" w:rsidP="009B63BE">
      <w:pPr>
        <w:pStyle w:val="CGPC-elearning"/>
      </w:pPr>
      <w:r w:rsidRPr="009B63BE">
        <w:t>Cependant, la mise en SCI du logement avec démembrement croisé (voir ci-dessus) peut être intéressante.</w:t>
      </w:r>
      <w:r w:rsidR="00736C49" w:rsidRPr="009B63BE">
        <w:t xml:space="preserve"> </w:t>
      </w:r>
    </w:p>
    <w:p w14:paraId="4D0E106B" w14:textId="77777777" w:rsidR="00C507C9" w:rsidRDefault="00C507C9" w:rsidP="009B63BE">
      <w:pPr>
        <w:pStyle w:val="CGPC-elearning"/>
      </w:pPr>
    </w:p>
    <w:p w14:paraId="5A152EFE" w14:textId="52ACDFAF" w:rsidR="008D272E" w:rsidRPr="009B63BE" w:rsidRDefault="008D272E" w:rsidP="009B63BE">
      <w:pPr>
        <w:pStyle w:val="CGPC-elearning"/>
      </w:pPr>
      <w:r w:rsidRPr="009B63BE">
        <w:t>En rappel, pour les héritiers du partenaire pacsé, dans l’hypothèse où le logement familial serait détenu dans une SCI, l’abattement de 20 % sur la valeur réelle ne s’appliquerait pas.</w:t>
      </w:r>
    </w:p>
    <w:p w14:paraId="2879C194" w14:textId="77777777" w:rsidR="00736C49" w:rsidRPr="009B63BE" w:rsidRDefault="00736C49" w:rsidP="009B63BE">
      <w:pPr>
        <w:pStyle w:val="CGPC-elearning"/>
      </w:pPr>
    </w:p>
    <w:p w14:paraId="1F6A9D4B" w14:textId="0998C030" w:rsidR="0070600E" w:rsidRPr="009B63BE" w:rsidRDefault="008D272E" w:rsidP="009B63BE">
      <w:pPr>
        <w:pStyle w:val="CGPC-elearning"/>
      </w:pPr>
      <w:r w:rsidRPr="009B63BE">
        <w:t>En définitive, comme pour les conjoints mariés, la création d’une SCI est à envisager pour la gestion de la résidence secondaire, la réalisation d’investissements locatifs ou les biens professionnels</w:t>
      </w:r>
      <w:r w:rsidR="00305315" w:rsidRPr="009B63BE">
        <w:t>.</w:t>
      </w:r>
    </w:p>
    <w:p w14:paraId="5AF4237E" w14:textId="77777777" w:rsidR="0070600E" w:rsidRDefault="0070600E" w:rsidP="009B63BE">
      <w:pPr>
        <w:pStyle w:val="CGPC-elearning"/>
      </w:pPr>
    </w:p>
    <w:p w14:paraId="5F4EDBA6" w14:textId="77777777" w:rsidR="008D272E" w:rsidRDefault="008D272E" w:rsidP="009B63BE">
      <w:pPr>
        <w:pStyle w:val="CGPC-elearning"/>
      </w:pPr>
    </w:p>
    <w:p w14:paraId="3B8722D6" w14:textId="4FF6A2E8" w:rsidR="0039799E" w:rsidRPr="00A02DA0" w:rsidRDefault="0082423A" w:rsidP="009B63BE">
      <w:pPr>
        <w:pStyle w:val="Titre3"/>
      </w:pPr>
      <w:bookmarkStart w:id="7" w:name="_Toc220870956"/>
      <w:r>
        <w:t>P</w:t>
      </w:r>
      <w:r w:rsidR="00CF29BA" w:rsidRPr="00A02DA0">
        <w:t xml:space="preserve">rotéger </w:t>
      </w:r>
      <w:r w:rsidR="008D272E" w:rsidRPr="00A02DA0">
        <w:t>une personne vulnérable</w:t>
      </w:r>
      <w:bookmarkEnd w:id="7"/>
      <w:r w:rsidR="00E44894" w:rsidRPr="00A02DA0">
        <w:t xml:space="preserve"> </w:t>
      </w:r>
    </w:p>
    <w:p w14:paraId="7DC8C6AC" w14:textId="77777777" w:rsidR="00305315" w:rsidRPr="00370875" w:rsidRDefault="00305315" w:rsidP="009B63BE">
      <w:pPr>
        <w:pStyle w:val="CGPC-elearning"/>
      </w:pPr>
    </w:p>
    <w:p w14:paraId="2A02B585" w14:textId="77777777" w:rsidR="00F85596" w:rsidRDefault="00305315" w:rsidP="00F85596">
      <w:pPr>
        <w:ind w:left="660"/>
        <w:jc w:val="left"/>
      </w:pPr>
      <w:r w:rsidRPr="00370875">
        <w:t xml:space="preserve">Il est envisageable de créer une société civile immobilière (SCI) afin de constituer un patrimoine au bénéfice de la personne vulnérable en lui assurant la perception de revenus. </w:t>
      </w:r>
    </w:p>
    <w:p w14:paraId="1A7AB5E3" w14:textId="121E2874" w:rsidR="00305315" w:rsidRPr="00370875" w:rsidRDefault="00305315" w:rsidP="00F85596">
      <w:pPr>
        <w:ind w:left="660"/>
        <w:jc w:val="left"/>
      </w:pPr>
      <w:r w:rsidRPr="00370875">
        <w:t>Les pouvoirs de décision seront entre les mains du gérant de cette société, cela déchargera la personne de toute contrainte de gestion.</w:t>
      </w:r>
    </w:p>
    <w:p w14:paraId="70A0939D" w14:textId="77777777" w:rsidR="00305315" w:rsidRPr="00370875" w:rsidRDefault="00305315" w:rsidP="009B63BE">
      <w:pPr>
        <w:pStyle w:val="CGPC-elearning"/>
      </w:pPr>
    </w:p>
    <w:p w14:paraId="5B4BD92E" w14:textId="77777777" w:rsidR="00305315" w:rsidRPr="00370875" w:rsidRDefault="00305315" w:rsidP="009B63BE">
      <w:pPr>
        <w:pStyle w:val="CGPC-elearning"/>
      </w:pPr>
      <w:r w:rsidRPr="00370875">
        <w:t>Le recours à la SCI en présence d’un majeur protégé suppose deux étapes :</w:t>
      </w:r>
    </w:p>
    <w:p w14:paraId="07D7B054" w14:textId="77777777" w:rsidR="00305315" w:rsidRPr="00370875" w:rsidRDefault="00305315" w:rsidP="009B63BE">
      <w:pPr>
        <w:pStyle w:val="CGPC-elearning"/>
      </w:pPr>
      <w:r w:rsidRPr="00370875">
        <w:t>- l’apport en société de biens immobilier appartenant à la personne protégée ;</w:t>
      </w:r>
    </w:p>
    <w:p w14:paraId="7894283B" w14:textId="77777777" w:rsidR="00305315" w:rsidRPr="00370875" w:rsidRDefault="00305315" w:rsidP="009B63BE">
      <w:pPr>
        <w:pStyle w:val="CGPC-elearning"/>
      </w:pPr>
      <w:r w:rsidRPr="00370875">
        <w:lastRenderedPageBreak/>
        <w:t>- la transmission de parts de SCI au profit de la personne protégée.</w:t>
      </w:r>
    </w:p>
    <w:p w14:paraId="66D85598" w14:textId="77777777" w:rsidR="00305315" w:rsidRPr="00370875" w:rsidRDefault="00305315" w:rsidP="009B63BE">
      <w:pPr>
        <w:pStyle w:val="CGPC-elearning"/>
      </w:pPr>
      <w:r w:rsidRPr="00370875">
        <w:t>Dans les deux cas, seuls les droits et pouvoirs attachés aux parts sociales seront gérés selon les règles résultant de la mesure de protection. Le bien immobilier ne sera plus la propriété du majeur protégé ; il sera celle de la SCI.</w:t>
      </w:r>
    </w:p>
    <w:p w14:paraId="1458934B" w14:textId="77777777" w:rsidR="00305315" w:rsidRPr="00370875" w:rsidRDefault="00305315" w:rsidP="009B63BE">
      <w:pPr>
        <w:pStyle w:val="CGPC-elearning"/>
      </w:pPr>
    </w:p>
    <w:p w14:paraId="25176D61" w14:textId="77777777" w:rsidR="00305315" w:rsidRPr="00370875" w:rsidRDefault="00305315" w:rsidP="009B63BE">
      <w:pPr>
        <w:pStyle w:val="CGPC-elearning"/>
      </w:pPr>
      <w:r w:rsidRPr="00370875">
        <w:t>L’apport en SCI de biens immobiliers appartenant à une personne protégée est considéré par la loi comme un acte de disposition (D. n° 2008-1484, 22 déc. 2008).</w:t>
      </w:r>
    </w:p>
    <w:p w14:paraId="0ECBE082" w14:textId="77777777" w:rsidR="00305315" w:rsidRPr="00370875" w:rsidRDefault="00305315" w:rsidP="009B63BE">
      <w:pPr>
        <w:pStyle w:val="CGPC-elearning"/>
      </w:pPr>
    </w:p>
    <w:p w14:paraId="3E708C88" w14:textId="47CA45D1" w:rsidR="00305315" w:rsidRPr="00370875" w:rsidRDefault="00305315" w:rsidP="009B63BE">
      <w:pPr>
        <w:pStyle w:val="CGPC-elearning"/>
      </w:pPr>
      <w:r w:rsidRPr="00370875">
        <w:t>Lorsque le majeur protégé est placé en tutelle, le tuteur doit être autorisé par le juge ou le conseil de famille après avoir fourni au magistrat le rapport d’une mesure d’instruction exécutée par un expert, ou l’avis d’au moins deux professionnels qualifiés.</w:t>
      </w:r>
    </w:p>
    <w:p w14:paraId="38C30112" w14:textId="77777777" w:rsidR="00A07CAA" w:rsidRPr="00370875" w:rsidRDefault="00A07CAA" w:rsidP="009B63BE">
      <w:pPr>
        <w:pStyle w:val="CGPC-elearning"/>
      </w:pPr>
    </w:p>
    <w:p w14:paraId="7ECC04CF" w14:textId="77777777" w:rsidR="00305315" w:rsidRPr="00370875" w:rsidRDefault="00305315" w:rsidP="009B63BE">
      <w:pPr>
        <w:pStyle w:val="CGPC-elearning"/>
      </w:pPr>
      <w:r w:rsidRPr="00370875">
        <w:t>La personne sous curatelle peut en principe accomplir les actes de disposition avec l’assistance de son curateur. Cependant, toute décision concernant le logement principal de la personne protégée doit être autorisée par le juge.</w:t>
      </w:r>
    </w:p>
    <w:p w14:paraId="3C7728A6" w14:textId="77777777" w:rsidR="00370875" w:rsidRPr="00370875" w:rsidRDefault="00370875" w:rsidP="009B63BE">
      <w:pPr>
        <w:pStyle w:val="CGPC-elearning"/>
      </w:pPr>
    </w:p>
    <w:p w14:paraId="73E17D5F" w14:textId="77777777" w:rsidR="00305315" w:rsidRPr="00370875" w:rsidRDefault="00305315" w:rsidP="009B63BE">
      <w:pPr>
        <w:pStyle w:val="CGPC-elearning"/>
      </w:pPr>
      <w:r w:rsidRPr="00370875">
        <w:t>Sauf exception, en présence d’un mandataire spécial, la personne sous sauvegarde de justice peut réaliser des apports de biens immobiliers dans une SCI.</w:t>
      </w:r>
    </w:p>
    <w:p w14:paraId="5A400535" w14:textId="77777777" w:rsidR="00370875" w:rsidRPr="00370875" w:rsidRDefault="00370875" w:rsidP="009B63BE">
      <w:pPr>
        <w:pStyle w:val="CGPC-elearning"/>
      </w:pPr>
    </w:p>
    <w:p w14:paraId="2C938F3D" w14:textId="77777777" w:rsidR="00305315" w:rsidRPr="00370875" w:rsidRDefault="00305315" w:rsidP="009B63BE">
      <w:pPr>
        <w:pStyle w:val="CGPC-elearning"/>
      </w:pPr>
      <w:r w:rsidRPr="00370875">
        <w:t>La transmission de parts de SCI au profit de la personne protégée par donation ou par legs à titre particulier non grevé de charge au moment de la succession est regardée comme un acte d’administration (il en est de même pour l’acceptation à concurrence de l’actif net d’une succession).</w:t>
      </w:r>
    </w:p>
    <w:p w14:paraId="1AEF340C" w14:textId="0A925C15" w:rsidR="008D272E" w:rsidRDefault="008D272E" w:rsidP="009B63BE">
      <w:pPr>
        <w:pStyle w:val="CGPC-elearning"/>
      </w:pPr>
    </w:p>
    <w:p w14:paraId="7FF73305" w14:textId="77777777" w:rsidR="00775A11" w:rsidRDefault="00775A11" w:rsidP="009B63BE">
      <w:pPr>
        <w:pStyle w:val="CGPC-elearning"/>
      </w:pPr>
    </w:p>
    <w:p w14:paraId="08AEF72F" w14:textId="77777777" w:rsidR="00775A11" w:rsidRDefault="00775A11" w:rsidP="009B63BE">
      <w:pPr>
        <w:pStyle w:val="CGPC-elearning"/>
      </w:pPr>
    </w:p>
    <w:p w14:paraId="7A47DEDE" w14:textId="43D4836F" w:rsidR="00D30875" w:rsidRDefault="008D272E" w:rsidP="00775A11">
      <w:pPr>
        <w:pStyle w:val="Titre3"/>
      </w:pPr>
      <w:bookmarkStart w:id="8" w:name="_Toc220870957"/>
      <w:r w:rsidRPr="00775A11">
        <w:lastRenderedPageBreak/>
        <w:t>Transmettre le patrimoine par donation sans ou avec démembrement de propriété</w:t>
      </w:r>
      <w:bookmarkEnd w:id="8"/>
    </w:p>
    <w:p w14:paraId="72C4AC9E" w14:textId="77777777" w:rsidR="00775A11" w:rsidRPr="00775A11" w:rsidRDefault="00775A11" w:rsidP="00775A11">
      <w:pPr>
        <w:rPr>
          <w:lang w:eastAsia="fr-FR"/>
        </w:rPr>
      </w:pPr>
    </w:p>
    <w:p w14:paraId="323DF5CB" w14:textId="4F10FA06" w:rsidR="008D272E" w:rsidRDefault="008D272E" w:rsidP="00224B3B">
      <w:pPr>
        <w:pStyle w:val="Titre4"/>
      </w:pPr>
      <w:r w:rsidRPr="008D272E">
        <w:t>L’intérêt</w:t>
      </w:r>
      <w:r>
        <w:t xml:space="preserve"> d’utiliser une société civile</w:t>
      </w:r>
    </w:p>
    <w:p w14:paraId="7C31B689" w14:textId="77777777" w:rsidR="008D272E" w:rsidRDefault="008D272E" w:rsidP="009B63BE">
      <w:pPr>
        <w:pStyle w:val="CGPC-elearning"/>
      </w:pPr>
    </w:p>
    <w:p w14:paraId="0E0B2C10" w14:textId="5CC49269" w:rsidR="008D272E" w:rsidRDefault="008D272E" w:rsidP="009B63BE">
      <w:pPr>
        <w:pStyle w:val="CGPC-elearning"/>
      </w:pPr>
      <w:r w:rsidRPr="00EE7F17">
        <w:t>La constitution d’une SCI présente un intérêt particulier pour les parents qui souhaitent de leur vivant transmettre une partie de leur patrimoine à leurs enfants tout en continuant à gérer eux-mêmes ce patrimoine. La SCI se présente alors comme un moyen de dissocier la propriété du patrimoine du pouvoir de le gérer.</w:t>
      </w:r>
    </w:p>
    <w:p w14:paraId="2D4B75B8" w14:textId="77777777" w:rsidR="001565E5" w:rsidRPr="00EE7F17" w:rsidRDefault="001565E5" w:rsidP="009B63BE">
      <w:pPr>
        <w:pStyle w:val="CGPC-elearning"/>
      </w:pPr>
    </w:p>
    <w:p w14:paraId="5DA627F2" w14:textId="77777777" w:rsidR="008D272E" w:rsidRPr="00EE7F17" w:rsidRDefault="008D272E" w:rsidP="009B63BE">
      <w:pPr>
        <w:pStyle w:val="CGPC-elearning"/>
      </w:pPr>
      <w:r w:rsidRPr="00EE7F17">
        <w:t>S’il s’agit d’un patrimoine immobilier, les parents constitue une SCI à laquelle ils apportent leurs immeubles, puis donnent à leurs enfants des parts de la SCI. Les parents, ou l’un deux, sont nommés gérants de la SCI, les enfants n’ayant de droit de regard sur la gestion que dans le cadre de leurs prérogatives d’associés.</w:t>
      </w:r>
    </w:p>
    <w:p w14:paraId="7511BF01" w14:textId="77777777" w:rsidR="00EE7F17" w:rsidRDefault="00EE7F17" w:rsidP="009B63BE">
      <w:pPr>
        <w:pStyle w:val="CGPC-elearning"/>
      </w:pPr>
    </w:p>
    <w:p w14:paraId="4A57495A" w14:textId="361076CC" w:rsidR="008D272E" w:rsidRPr="008D272E" w:rsidRDefault="008D272E" w:rsidP="001565E5">
      <w:pPr>
        <w:pStyle w:val="Titre4"/>
      </w:pPr>
      <w:r w:rsidRPr="008D272E">
        <w:t>Transmission du patrimoine familial par donations de parts de SCI en pleine propriété</w:t>
      </w:r>
    </w:p>
    <w:p w14:paraId="27264EBE" w14:textId="77777777" w:rsidR="008D272E" w:rsidRDefault="008D272E"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1A5E4C1" w14:textId="4A89E516" w:rsidR="008D272E" w:rsidRDefault="008D272E" w:rsidP="009B63BE">
      <w:pPr>
        <w:pStyle w:val="CGPC-elearning"/>
      </w:pPr>
      <w:r>
        <w:t>La donation des parts de SCI s’inscrit dans une stratégie de transmission du patrimoine. Effectuée au profit des héritiers, et tout spécialement des enfants, elle permet d’anticiper la transmission au moindre coût fiscal.</w:t>
      </w:r>
    </w:p>
    <w:p w14:paraId="092DA7DF" w14:textId="77777777" w:rsidR="001565E5" w:rsidRDefault="001565E5" w:rsidP="009B63BE">
      <w:pPr>
        <w:pStyle w:val="CGPC-elearning"/>
      </w:pPr>
    </w:p>
    <w:p w14:paraId="24457889" w14:textId="77777777" w:rsidR="008D272E" w:rsidRDefault="008D272E" w:rsidP="009B63BE">
      <w:pPr>
        <w:pStyle w:val="CGPC-elearning"/>
      </w:pPr>
      <w:r>
        <w:t>Si les donations relèvent du même tarif d’imposition que les successions, elles bénéficient d’avantages fiscaux spécifiques sous forme d’abattement (100 000 € par exemple pour les donations aux enfants, 31 865 € pour les petits-enfants).</w:t>
      </w:r>
    </w:p>
    <w:p w14:paraId="64D7E1B6" w14:textId="77777777" w:rsidR="00EF2D3B" w:rsidRDefault="00EF2D3B" w:rsidP="009B63BE">
      <w:pPr>
        <w:pStyle w:val="CGPC-elearning"/>
      </w:pPr>
    </w:p>
    <w:p w14:paraId="182DF0FF" w14:textId="4674C091" w:rsidR="008D272E" w:rsidRDefault="008D272E" w:rsidP="001565E5">
      <w:pPr>
        <w:pStyle w:val="Titre4"/>
      </w:pPr>
      <w:r w:rsidRPr="008D272E">
        <w:t>Transmission</w:t>
      </w:r>
      <w:r>
        <w:t xml:space="preserve"> du patrimoine familial par donations de parts de SCI avec démembrement de propriété</w:t>
      </w:r>
    </w:p>
    <w:p w14:paraId="5D0A5280" w14:textId="77777777" w:rsidR="008D272E" w:rsidRDefault="008D272E"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5831638" w14:textId="080C5AF6" w:rsidR="008D272E" w:rsidRDefault="008D272E" w:rsidP="009B63BE">
      <w:pPr>
        <w:pStyle w:val="CGPC-elearning"/>
      </w:pPr>
      <w:r w:rsidRPr="00796109">
        <w:lastRenderedPageBreak/>
        <w:t>Donner la nue-propriété des parts d’une SCI aux enfants (et donc en conserver l’usufruit) permet aux parents d’amorcer une transmission patrimoniale tout en conservant un droit aux revenus produits par la SCI à concurrence de la participation au capital.</w:t>
      </w:r>
    </w:p>
    <w:p w14:paraId="6655C91D" w14:textId="77777777" w:rsidR="004853AF" w:rsidRPr="00796109" w:rsidRDefault="004853AF" w:rsidP="009B63BE">
      <w:pPr>
        <w:pStyle w:val="CGPC-elearning"/>
      </w:pPr>
    </w:p>
    <w:p w14:paraId="00F822F0" w14:textId="1C98794A" w:rsidR="008D272E" w:rsidRPr="00796109" w:rsidRDefault="008D272E" w:rsidP="009B63BE">
      <w:pPr>
        <w:pStyle w:val="CGPC-elearning"/>
      </w:pPr>
      <w:r w:rsidRPr="00796109">
        <w:rPr>
          <w:b/>
          <w:noProof/>
          <w:bdr w:val="none" w:sz="0" w:space="0" w:color="auto" w:frame="1"/>
        </w:rPr>
        <w:drawing>
          <wp:inline distT="0" distB="0" distL="0" distR="0" wp14:anchorId="03747272" wp14:editId="0A05D3BC">
            <wp:extent cx="225425" cy="154305"/>
            <wp:effectExtent l="0" t="0" r="3175" b="0"/>
            <wp:docPr id="682515502" name="Image 4"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15502" name="Image 4" descr="Une image contenant Graphique, graphisme, clipart, art&#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425" cy="154305"/>
                    </a:xfrm>
                    <a:prstGeom prst="rect">
                      <a:avLst/>
                    </a:prstGeom>
                    <a:noFill/>
                    <a:ln>
                      <a:noFill/>
                    </a:ln>
                  </pic:spPr>
                </pic:pic>
              </a:graphicData>
            </a:graphic>
          </wp:inline>
        </w:drawing>
      </w:r>
      <w:r w:rsidRPr="00796109">
        <w:rPr>
          <w:rStyle w:val="lev"/>
          <w:i/>
          <w:iCs/>
        </w:rPr>
        <w:t> </w:t>
      </w:r>
      <w:r w:rsidRPr="00796109">
        <w:rPr>
          <w:rStyle w:val="lev"/>
          <w:i/>
          <w:iCs/>
          <w:u w:val="single"/>
        </w:rPr>
        <w:t>Exemple</w:t>
      </w:r>
      <w:r w:rsidRPr="00796109">
        <w:rPr>
          <w:rStyle w:val="Accentuation"/>
        </w:rPr>
        <w:t> de donation de parts de SCI avec réserve d’usufruit par apport d’un immeuble à une SCI puis donation de la nue-propriété des titres de la SCI</w:t>
      </w:r>
    </w:p>
    <w:p w14:paraId="4A60F454" w14:textId="77777777" w:rsidR="008D272E" w:rsidRPr="00796109" w:rsidRDefault="008D272E" w:rsidP="009B63BE">
      <w:pPr>
        <w:pStyle w:val="CGPC-elearning"/>
      </w:pPr>
      <w:r w:rsidRPr="00796109">
        <w:rPr>
          <w:rStyle w:val="Accentuation"/>
        </w:rPr>
        <w:t>Constitution de la SCI par les parents :</w:t>
      </w:r>
    </w:p>
    <w:p w14:paraId="048A1BA1" w14:textId="77777777" w:rsidR="008D272E" w:rsidRPr="00796109" w:rsidRDefault="008D272E" w:rsidP="009B63BE">
      <w:pPr>
        <w:pStyle w:val="CGPC-elearning"/>
      </w:pPr>
      <w:r w:rsidRPr="00796109">
        <w:rPr>
          <w:rStyle w:val="Accentuation"/>
        </w:rPr>
        <w:t>les contribuables parents constituent une SCI imposable à l’IR ;</w:t>
      </w:r>
    </w:p>
    <w:p w14:paraId="415297A6" w14:textId="77777777" w:rsidR="008D272E" w:rsidRPr="00796109" w:rsidRDefault="008D272E" w:rsidP="009B63BE">
      <w:pPr>
        <w:pStyle w:val="CGPC-elearning"/>
      </w:pPr>
      <w:r w:rsidRPr="00796109">
        <w:rPr>
          <w:rStyle w:val="Accentuation"/>
        </w:rPr>
        <w:t>ils apportent la pleine propriété de l’immeuble dont ils sont propriétaires.</w:t>
      </w:r>
    </w:p>
    <w:p w14:paraId="1890A2EF" w14:textId="77777777" w:rsidR="008D272E" w:rsidRPr="00796109" w:rsidRDefault="008D272E" w:rsidP="009B63BE">
      <w:pPr>
        <w:pStyle w:val="CGPC-elearning"/>
      </w:pPr>
      <w:r w:rsidRPr="00796109">
        <w:rPr>
          <w:rStyle w:val="Accentuation"/>
        </w:rPr>
        <w:t>Donation-partage :</w:t>
      </w:r>
    </w:p>
    <w:p w14:paraId="7FC76650" w14:textId="77777777" w:rsidR="008D272E" w:rsidRPr="00796109" w:rsidRDefault="008D272E" w:rsidP="009B63BE">
      <w:pPr>
        <w:pStyle w:val="CGPC-elearning"/>
      </w:pPr>
      <w:r w:rsidRPr="00796109">
        <w:rPr>
          <w:rStyle w:val="Accentuation"/>
        </w:rPr>
        <w:t>les parents consentent une donation-partage au profit de leurs enfants de la nue-propriété de la totalité des titres de la SCI</w:t>
      </w:r>
      <w:proofErr w:type="gramStart"/>
      <w:r w:rsidRPr="00796109">
        <w:rPr>
          <w:rStyle w:val="Accentuation"/>
        </w:rPr>
        <w:t> ;c</w:t>
      </w:r>
      <w:proofErr w:type="gramEnd"/>
    </w:p>
    <w:p w14:paraId="1FAD13CF" w14:textId="77777777" w:rsidR="008D272E" w:rsidRPr="00796109" w:rsidRDefault="008D272E" w:rsidP="009B63BE">
      <w:pPr>
        <w:pStyle w:val="CGPC-elearning"/>
      </w:pPr>
      <w:r w:rsidRPr="00796109">
        <w:rPr>
          <w:rStyle w:val="Accentuation"/>
        </w:rPr>
        <w:t>cette donation entraîne des droits de mutation à titre gratuit en fonction de l’âge de l’usufruitier au barème légal, calculés sur la valeur fiscale de la nue-propriété (CGI, art. 669 ; cf. tableau ci-après) des titres représentatifs de la pleine propriété de l’immeuble inscrit à l’actif de la SCI.</w:t>
      </w:r>
    </w:p>
    <w:p w14:paraId="2666D369" w14:textId="77777777" w:rsidR="008D272E" w:rsidRDefault="008D272E" w:rsidP="009B63BE">
      <w:pPr>
        <w:pStyle w:val="CGPC-elearning"/>
      </w:pPr>
      <w:r>
        <w:t>Valeur de la nue-propriété = valeur de la pleine propriété – valeur de l’usufruit</w:t>
      </w:r>
    </w:p>
    <w:tbl>
      <w:tblPr>
        <w:tblW w:w="12480" w:type="dxa"/>
        <w:jc w:val="center"/>
        <w:shd w:val="clear" w:color="auto" w:fill="2F5496" w:themeFill="accent1" w:themeFillShade="BF"/>
        <w:tblLook w:val="04A0" w:firstRow="1" w:lastRow="0" w:firstColumn="1" w:lastColumn="0" w:noHBand="0" w:noVBand="1"/>
      </w:tblPr>
      <w:tblGrid>
        <w:gridCol w:w="4160"/>
        <w:gridCol w:w="4160"/>
        <w:gridCol w:w="4160"/>
      </w:tblGrid>
      <w:tr w:rsidR="007E113B" w:rsidRPr="00CC7907" w14:paraId="43AC485F" w14:textId="77777777" w:rsidTr="007E113B">
        <w:trPr>
          <w:trHeight w:val="465"/>
          <w:jc w:val="center"/>
        </w:trPr>
        <w:tc>
          <w:tcPr>
            <w:tcW w:w="4160" w:type="dxa"/>
            <w:tcBorders>
              <w:top w:val="single" w:sz="4" w:space="0" w:color="FFFFFF"/>
              <w:left w:val="single" w:sz="4" w:space="0" w:color="FFFFFF"/>
              <w:bottom w:val="single" w:sz="4" w:space="0" w:color="FFFFFF"/>
              <w:right w:val="single" w:sz="4" w:space="0" w:color="FFFFFF"/>
            </w:tcBorders>
            <w:shd w:val="clear" w:color="auto" w:fill="2F5496" w:themeFill="accent1" w:themeFillShade="BF"/>
            <w:vAlign w:val="center"/>
            <w:hideMark/>
          </w:tcPr>
          <w:p w14:paraId="63A0B940" w14:textId="77777777" w:rsidR="00CC7907" w:rsidRPr="00CC7907" w:rsidRDefault="00CC7907" w:rsidP="00CC7907">
            <w:pPr>
              <w:spacing w:after="0" w:line="240" w:lineRule="auto"/>
              <w:jc w:val="center"/>
              <w:rPr>
                <w:rFonts w:eastAsia="Times New Roman" w:cs="Open Sans"/>
                <w:b/>
                <w:bCs/>
                <w:color w:val="FFFFFF" w:themeColor="background1"/>
                <w:szCs w:val="28"/>
                <w:lang w:val="en-US"/>
              </w:rPr>
            </w:pPr>
            <w:r w:rsidRPr="00CC7907">
              <w:rPr>
                <w:rFonts w:eastAsia="Times New Roman" w:cs="Open Sans"/>
                <w:b/>
                <w:bCs/>
                <w:color w:val="FFFFFF" w:themeColor="background1"/>
                <w:szCs w:val="28"/>
              </w:rPr>
              <w:t>Âge du donateur</w:t>
            </w:r>
          </w:p>
        </w:tc>
        <w:tc>
          <w:tcPr>
            <w:tcW w:w="4160" w:type="dxa"/>
            <w:tcBorders>
              <w:top w:val="single" w:sz="4" w:space="0" w:color="FFFFFF"/>
              <w:left w:val="nil"/>
              <w:bottom w:val="single" w:sz="4" w:space="0" w:color="FFFFFF"/>
              <w:right w:val="single" w:sz="4" w:space="0" w:color="FFFFFF"/>
            </w:tcBorders>
            <w:shd w:val="clear" w:color="auto" w:fill="2F5496" w:themeFill="accent1" w:themeFillShade="BF"/>
            <w:vAlign w:val="center"/>
            <w:hideMark/>
          </w:tcPr>
          <w:p w14:paraId="27EFA5CB" w14:textId="77777777" w:rsidR="00CC7907" w:rsidRPr="00CC7907" w:rsidRDefault="00CC7907" w:rsidP="00CC7907">
            <w:pPr>
              <w:spacing w:after="0" w:line="240" w:lineRule="auto"/>
              <w:jc w:val="center"/>
              <w:rPr>
                <w:rFonts w:eastAsia="Times New Roman" w:cs="Open Sans"/>
                <w:b/>
                <w:bCs/>
                <w:color w:val="FFFFFF" w:themeColor="background1"/>
                <w:szCs w:val="28"/>
                <w:lang w:val="en-US"/>
              </w:rPr>
            </w:pPr>
            <w:r w:rsidRPr="00CC7907">
              <w:rPr>
                <w:rFonts w:eastAsia="Times New Roman" w:cs="Open Sans"/>
                <w:b/>
                <w:bCs/>
                <w:color w:val="FFFFFF" w:themeColor="background1"/>
                <w:szCs w:val="28"/>
              </w:rPr>
              <w:t>Valeur de l'usufruit</w:t>
            </w:r>
          </w:p>
        </w:tc>
        <w:tc>
          <w:tcPr>
            <w:tcW w:w="4160" w:type="dxa"/>
            <w:tcBorders>
              <w:top w:val="single" w:sz="4" w:space="0" w:color="FFFFFF"/>
              <w:left w:val="nil"/>
              <w:bottom w:val="single" w:sz="4" w:space="0" w:color="FFFFFF"/>
              <w:right w:val="single" w:sz="4" w:space="0" w:color="FFFFFF"/>
            </w:tcBorders>
            <w:shd w:val="clear" w:color="auto" w:fill="2F5496" w:themeFill="accent1" w:themeFillShade="BF"/>
            <w:vAlign w:val="center"/>
            <w:hideMark/>
          </w:tcPr>
          <w:p w14:paraId="2FB8128C" w14:textId="77777777" w:rsidR="00CC7907" w:rsidRPr="00CC7907" w:rsidRDefault="00CC7907" w:rsidP="00CC7907">
            <w:pPr>
              <w:spacing w:after="0" w:line="240" w:lineRule="auto"/>
              <w:jc w:val="center"/>
              <w:rPr>
                <w:rFonts w:eastAsia="Times New Roman" w:cs="Open Sans"/>
                <w:b/>
                <w:bCs/>
                <w:color w:val="FFFFFF" w:themeColor="background1"/>
                <w:szCs w:val="28"/>
              </w:rPr>
            </w:pPr>
            <w:r w:rsidRPr="00CC7907">
              <w:rPr>
                <w:rFonts w:eastAsia="Times New Roman" w:cs="Open Sans"/>
                <w:b/>
                <w:bCs/>
                <w:color w:val="FFFFFF" w:themeColor="background1"/>
                <w:szCs w:val="28"/>
              </w:rPr>
              <w:t>Valeur de la nue-propriété</w:t>
            </w:r>
          </w:p>
        </w:tc>
      </w:tr>
      <w:tr w:rsidR="007E113B" w:rsidRPr="00CC7907" w14:paraId="7ACCEFDF"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4361313D"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Moins de 21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02AACB01"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90%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6D3A90AB"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10%</w:t>
            </w:r>
          </w:p>
        </w:tc>
      </w:tr>
      <w:tr w:rsidR="007E113B" w:rsidRPr="00CC7907" w14:paraId="0D3B7364"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231B499B"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21 à 30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68E38211"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80%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7B01C04E"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20%</w:t>
            </w:r>
          </w:p>
        </w:tc>
      </w:tr>
      <w:tr w:rsidR="007E113B" w:rsidRPr="00CC7907" w14:paraId="1D8EFD97"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3CC66AF7"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31 à 40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230262F1"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70%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2D9A8FE5"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30%</w:t>
            </w:r>
          </w:p>
        </w:tc>
      </w:tr>
      <w:tr w:rsidR="007E113B" w:rsidRPr="00CC7907" w14:paraId="2634C475"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11A34294"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41 à 50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3F3DEE80"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60%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45F369F5"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40%</w:t>
            </w:r>
          </w:p>
        </w:tc>
      </w:tr>
      <w:tr w:rsidR="007E113B" w:rsidRPr="00CC7907" w14:paraId="7A0AB8FE"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516177EC"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51 à 60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23427426"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50%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476EA05C"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50%</w:t>
            </w:r>
          </w:p>
        </w:tc>
      </w:tr>
      <w:tr w:rsidR="007E113B" w:rsidRPr="00CC7907" w14:paraId="4BC0D5BC"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0867E4BC"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61 à 70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14BEA889"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40%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715457FF"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60%</w:t>
            </w:r>
          </w:p>
        </w:tc>
      </w:tr>
      <w:tr w:rsidR="007E113B" w:rsidRPr="00CC7907" w14:paraId="37852F9E"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3FD47021"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71 à 80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53DE6BDE"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30%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16DD013D"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70%</w:t>
            </w:r>
          </w:p>
        </w:tc>
      </w:tr>
      <w:tr w:rsidR="007E113B" w:rsidRPr="00CC7907" w14:paraId="7E097F0C" w14:textId="77777777" w:rsidTr="007E113B">
        <w:trPr>
          <w:trHeight w:val="465"/>
          <w:jc w:val="center"/>
        </w:trPr>
        <w:tc>
          <w:tcPr>
            <w:tcW w:w="4160" w:type="dxa"/>
            <w:tcBorders>
              <w:top w:val="nil"/>
              <w:left w:val="single" w:sz="4" w:space="0" w:color="FFFFFF"/>
              <w:bottom w:val="single" w:sz="4" w:space="0" w:color="FFFFFF"/>
              <w:right w:val="single" w:sz="4" w:space="0" w:color="FFFFFF"/>
            </w:tcBorders>
            <w:shd w:val="clear" w:color="auto" w:fill="2F5496" w:themeFill="accent1" w:themeFillShade="BF"/>
            <w:vAlign w:val="center"/>
            <w:hideMark/>
          </w:tcPr>
          <w:p w14:paraId="0B808B8E" w14:textId="77777777" w:rsidR="00CC7907" w:rsidRPr="00CC7907" w:rsidRDefault="00CC7907" w:rsidP="00CC7907">
            <w:pPr>
              <w:spacing w:after="0" w:line="240" w:lineRule="auto"/>
              <w:rPr>
                <w:rFonts w:eastAsia="Times New Roman" w:cs="Open Sans"/>
                <w:color w:val="FFFFFF" w:themeColor="background1"/>
                <w:szCs w:val="28"/>
                <w:lang w:val="en-US"/>
              </w:rPr>
            </w:pPr>
            <w:r w:rsidRPr="00CC7907">
              <w:rPr>
                <w:rFonts w:eastAsia="Times New Roman" w:cs="Open Sans"/>
                <w:color w:val="FFFFFF" w:themeColor="background1"/>
                <w:szCs w:val="28"/>
              </w:rPr>
              <w:t>De 81 à 90 ans</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5D76812E"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20%</w:t>
            </w:r>
          </w:p>
        </w:tc>
        <w:tc>
          <w:tcPr>
            <w:tcW w:w="4160" w:type="dxa"/>
            <w:tcBorders>
              <w:top w:val="nil"/>
              <w:left w:val="nil"/>
              <w:bottom w:val="single" w:sz="4" w:space="0" w:color="FFFFFF"/>
              <w:right w:val="single" w:sz="4" w:space="0" w:color="FFFFFF"/>
            </w:tcBorders>
            <w:shd w:val="clear" w:color="auto" w:fill="2F5496" w:themeFill="accent1" w:themeFillShade="BF"/>
            <w:vAlign w:val="center"/>
            <w:hideMark/>
          </w:tcPr>
          <w:p w14:paraId="26469D33" w14:textId="77777777" w:rsidR="00CC7907" w:rsidRPr="00CC7907" w:rsidRDefault="00CC7907" w:rsidP="00CC7907">
            <w:pPr>
              <w:spacing w:after="0" w:line="240" w:lineRule="auto"/>
              <w:jc w:val="center"/>
              <w:rPr>
                <w:rFonts w:eastAsia="Times New Roman" w:cs="Open Sans"/>
                <w:color w:val="FFFFFF" w:themeColor="background1"/>
                <w:szCs w:val="28"/>
                <w:lang w:val="en-US"/>
              </w:rPr>
            </w:pPr>
            <w:r w:rsidRPr="00CC7907">
              <w:rPr>
                <w:rFonts w:eastAsia="Times New Roman" w:cs="Open Sans"/>
                <w:color w:val="FFFFFF" w:themeColor="background1"/>
                <w:szCs w:val="28"/>
              </w:rPr>
              <w:t>80%</w:t>
            </w:r>
          </w:p>
        </w:tc>
      </w:tr>
    </w:tbl>
    <w:p w14:paraId="5BF1B3AD" w14:textId="71762F73" w:rsidR="007D5C9A" w:rsidRDefault="007D5C9A" w:rsidP="009B63BE">
      <w:pPr>
        <w:pStyle w:val="CGPC-elearning"/>
      </w:pPr>
    </w:p>
    <w:p w14:paraId="51C92B3A" w14:textId="153E7CE4" w:rsidR="008D272E" w:rsidRDefault="008D272E" w:rsidP="009B63BE">
      <w:pPr>
        <w:pStyle w:val="CGPC-elearning"/>
      </w:pPr>
      <w:r>
        <w:lastRenderedPageBreak/>
        <w:t>Le montage permet par ailleurs d’appliquer une décote de 10 à 20% de la valeur des titres de la SCI par rapport à la valeur de la nue-propriété de l’immeuble (abattement pour non-liquidité).</w:t>
      </w:r>
    </w:p>
    <w:p w14:paraId="1BE00BE1" w14:textId="35FAF02C" w:rsidR="000A4A6E" w:rsidRPr="000A4A6E" w:rsidRDefault="008D272E" w:rsidP="000A4A6E">
      <w:pPr>
        <w:pStyle w:val="CGPC-elearning"/>
      </w:pPr>
      <w:r>
        <w:t>Finalement, au décès des parents usufruitiers, la pleine propriété des parts sociales de la SCI se reconstitue sur la tête des enfants nus-propriétaires sans fiscalité.</w:t>
      </w:r>
      <w:r w:rsidR="007E113B">
        <w:br w:type="page"/>
      </w:r>
    </w:p>
    <w:bookmarkStart w:id="9" w:name="_Toc220870958"/>
    <w:p w14:paraId="2D9E9E21" w14:textId="16F2F5CA" w:rsidR="00C751CA" w:rsidRDefault="00FD499F" w:rsidP="001A0554">
      <w:pPr>
        <w:pStyle w:val="Titre2"/>
        <w:numPr>
          <w:ilvl w:val="0"/>
          <w:numId w:val="0"/>
        </w:numPr>
        <w:ind w:left="1434"/>
      </w:pPr>
      <w:r>
        <w:rPr>
          <w:noProof/>
        </w:rPr>
        <w:lastRenderedPageBreak/>
        <mc:AlternateContent>
          <mc:Choice Requires="wps">
            <w:drawing>
              <wp:anchor distT="0" distB="0" distL="114300" distR="114300" simplePos="0" relativeHeight="251660294" behindDoc="1" locked="0" layoutInCell="1" allowOverlap="1" wp14:anchorId="79BE457A" wp14:editId="23F53A8D">
                <wp:simplePos x="0" y="0"/>
                <wp:positionH relativeFrom="margin">
                  <wp:posOffset>-523874</wp:posOffset>
                </wp:positionH>
                <wp:positionV relativeFrom="paragraph">
                  <wp:posOffset>-860425</wp:posOffset>
                </wp:positionV>
                <wp:extent cx="14287500" cy="10153650"/>
                <wp:effectExtent l="0" t="0" r="19050" b="19050"/>
                <wp:wrapNone/>
                <wp:docPr id="1422698785" name="Rectangle 9"/>
                <wp:cNvGraphicFramePr/>
                <a:graphic xmlns:a="http://schemas.openxmlformats.org/drawingml/2006/main">
                  <a:graphicData uri="http://schemas.microsoft.com/office/word/2010/wordprocessingShape">
                    <wps:wsp>
                      <wps:cNvSpPr/>
                      <wps:spPr>
                        <a:xfrm>
                          <a:off x="0" y="0"/>
                          <a:ext cx="14287500" cy="101536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81ACA" id="Rectangle 9" o:spid="_x0000_s1026" style="position:absolute;margin-left:-41.25pt;margin-top:-67.75pt;width:1125pt;height:799.5pt;z-index:-2516561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" fillcolor="#4472c4 [3204]" strokecolor="#09101d [484]" strokeweight="1pt">
                <w10:wrap anchorx="margin"/>
              </v:rect>
            </w:pict>
          </mc:Fallback>
        </mc:AlternateContent>
      </w:r>
      <w:bookmarkEnd w:id="9"/>
    </w:p>
    <w:p w14:paraId="62432BB4" w14:textId="30D034F9" w:rsidR="00C751CA" w:rsidRDefault="00C751CA" w:rsidP="001A0554">
      <w:pPr>
        <w:pStyle w:val="Titre2"/>
        <w:numPr>
          <w:ilvl w:val="0"/>
          <w:numId w:val="0"/>
        </w:numPr>
        <w:ind w:left="1434"/>
      </w:pPr>
    </w:p>
    <w:p w14:paraId="3815682C" w14:textId="299D69DC" w:rsidR="00C751CA" w:rsidRDefault="00C751CA" w:rsidP="001A0554">
      <w:pPr>
        <w:pStyle w:val="Titre2"/>
        <w:numPr>
          <w:ilvl w:val="0"/>
          <w:numId w:val="0"/>
        </w:numPr>
        <w:ind w:left="1434"/>
      </w:pPr>
    </w:p>
    <w:p w14:paraId="3EB69212" w14:textId="77777777" w:rsidR="00C751CA" w:rsidRDefault="00C751CA" w:rsidP="001A0554">
      <w:pPr>
        <w:pStyle w:val="Titre2"/>
        <w:numPr>
          <w:ilvl w:val="0"/>
          <w:numId w:val="0"/>
        </w:numPr>
        <w:ind w:left="1434"/>
      </w:pPr>
    </w:p>
    <w:p w14:paraId="3491CE91" w14:textId="77777777" w:rsidR="00C751CA" w:rsidRDefault="00C751CA" w:rsidP="001A0554">
      <w:pPr>
        <w:pStyle w:val="Titre2"/>
        <w:numPr>
          <w:ilvl w:val="0"/>
          <w:numId w:val="0"/>
        </w:numPr>
        <w:ind w:left="1434"/>
      </w:pPr>
    </w:p>
    <w:p w14:paraId="57C7F1BA" w14:textId="77777777" w:rsidR="00C751CA" w:rsidRDefault="00C751CA" w:rsidP="001A0554">
      <w:pPr>
        <w:pStyle w:val="Titre2"/>
        <w:numPr>
          <w:ilvl w:val="0"/>
          <w:numId w:val="0"/>
        </w:numPr>
        <w:ind w:left="1434"/>
      </w:pPr>
    </w:p>
    <w:p w14:paraId="1D974463" w14:textId="77777777" w:rsidR="00FD499F" w:rsidRDefault="00FD499F" w:rsidP="001A0554">
      <w:pPr>
        <w:pStyle w:val="Titre2"/>
        <w:numPr>
          <w:ilvl w:val="0"/>
          <w:numId w:val="0"/>
        </w:numPr>
        <w:ind w:left="1434"/>
      </w:pPr>
    </w:p>
    <w:p w14:paraId="33C8378C" w14:textId="77777777" w:rsidR="00FD499F" w:rsidRDefault="00FD499F" w:rsidP="001A0554">
      <w:pPr>
        <w:pStyle w:val="Titre2"/>
        <w:numPr>
          <w:ilvl w:val="0"/>
          <w:numId w:val="0"/>
        </w:numPr>
        <w:ind w:left="1434"/>
      </w:pPr>
    </w:p>
    <w:p w14:paraId="73AF72A5" w14:textId="4F275A83" w:rsidR="007E113B" w:rsidRPr="007010A1" w:rsidRDefault="004853AF" w:rsidP="001A0554">
      <w:pPr>
        <w:pStyle w:val="Titre2"/>
      </w:pPr>
      <w:bookmarkStart w:id="10" w:name="_Toc220870959"/>
      <w:r w:rsidRPr="007010A1">
        <w:t xml:space="preserve">De </w:t>
      </w:r>
      <w:r w:rsidR="00112E94" w:rsidRPr="007010A1">
        <w:t>l’intérêt</w:t>
      </w:r>
      <w:r w:rsidR="008D272E" w:rsidRPr="007010A1">
        <w:t xml:space="preserve"> d</w:t>
      </w:r>
      <w:r w:rsidR="00144E78" w:rsidRPr="007010A1">
        <w:t>es</w:t>
      </w:r>
      <w:r w:rsidR="008D272E" w:rsidRPr="007010A1">
        <w:t xml:space="preserve"> contrat</w:t>
      </w:r>
      <w:r w:rsidR="00144E78" w:rsidRPr="007010A1">
        <w:t>s</w:t>
      </w:r>
      <w:r w:rsidR="008D272E" w:rsidRPr="007010A1">
        <w:t xml:space="preserve"> d’assurance vie et de capitalisation</w:t>
      </w:r>
      <w:r w:rsidR="00144E78" w:rsidRPr="007010A1">
        <w:t xml:space="preserve"> pour </w:t>
      </w:r>
      <w:r w:rsidR="00634276" w:rsidRPr="007010A1">
        <w:t>l</w:t>
      </w:r>
      <w:r w:rsidR="00144E78" w:rsidRPr="007010A1">
        <w:t>a transmission du capital financier</w:t>
      </w:r>
      <w:bookmarkEnd w:id="10"/>
    </w:p>
    <w:p w14:paraId="2F6EBB60" w14:textId="1654929E" w:rsidR="008D272E" w:rsidRPr="00364422" w:rsidRDefault="007E113B" w:rsidP="001A0554">
      <w:pPr>
        <w:pStyle w:val="Titre2"/>
        <w:rPr>
          <w:sz w:val="48"/>
        </w:rPr>
      </w:pPr>
      <w:r w:rsidRPr="00364422">
        <w:br w:type="page"/>
      </w:r>
    </w:p>
    <w:p w14:paraId="3EAE558C" w14:textId="6FF1F2D1" w:rsidR="00162B58" w:rsidRDefault="00894579" w:rsidP="007E113B">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2FFD2A99" wp14:editId="399A91A9">
            <wp:extent cx="12252960" cy="6883400"/>
            <wp:effectExtent l="533400" t="457200" r="796290" b="793750"/>
            <wp:docPr id="1815777978" name="Image 3" descr="Une image contenant personne, costume, doigt, crava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77978" name="Image 3" descr="Une image contenant personne, costume, doigt, cravat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307688" cy="691414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77C11A0D" w14:textId="006D4689" w:rsidR="008D272E" w:rsidRPr="009B63BE" w:rsidRDefault="00A70209" w:rsidP="009B63BE">
      <w:pPr>
        <w:pStyle w:val="Titre3"/>
        <w:numPr>
          <w:ilvl w:val="0"/>
          <w:numId w:val="42"/>
        </w:numPr>
        <w:rPr>
          <w:szCs w:val="36"/>
        </w:rPr>
      </w:pPr>
      <w:bookmarkStart w:id="11" w:name="_Toc220870960"/>
      <w:r>
        <w:lastRenderedPageBreak/>
        <w:t>Les contrats d’a</w:t>
      </w:r>
      <w:r w:rsidR="008D272E">
        <w:t>ssurance-vie</w:t>
      </w:r>
      <w:bookmarkEnd w:id="11"/>
    </w:p>
    <w:p w14:paraId="40930552" w14:textId="77777777" w:rsidR="00AB5284" w:rsidRDefault="00AB5284" w:rsidP="008D272E">
      <w:pPr>
        <w:pStyle w:val="NormalWeb"/>
        <w:shd w:val="clear" w:color="auto" w:fill="FFFFFF"/>
        <w:spacing w:before="0" w:beforeAutospacing="0" w:after="0" w:afterAutospacing="0"/>
        <w:jc w:val="both"/>
        <w:textAlignment w:val="baseline"/>
        <w:rPr>
          <w:rStyle w:val="lev"/>
          <w:rFonts w:cs="Open Sans"/>
          <w:color w:val="666666"/>
          <w:sz w:val="21"/>
          <w:szCs w:val="21"/>
          <w:u w:val="single"/>
        </w:rPr>
      </w:pPr>
    </w:p>
    <w:p w14:paraId="46116958" w14:textId="4F88723A" w:rsidR="008D272E" w:rsidRPr="008F0F61" w:rsidRDefault="008D272E" w:rsidP="009B63BE">
      <w:pPr>
        <w:pStyle w:val="CGPC-elearning"/>
      </w:pPr>
      <w:r w:rsidRPr="00A958EA">
        <w:rPr>
          <w:rStyle w:val="lev"/>
          <w:u w:val="single"/>
        </w:rPr>
        <w:t>L’assurance-vie</w:t>
      </w:r>
      <w:r w:rsidRPr="00A958EA">
        <w:rPr>
          <w:sz w:val="44"/>
          <w:szCs w:val="52"/>
        </w:rPr>
        <w:t> </w:t>
      </w:r>
      <w:r w:rsidRPr="008F0F61">
        <w:t xml:space="preserve">est un outil patrimonial essentiel dans une optique de transmission d’un capital financier. </w:t>
      </w:r>
      <w:proofErr w:type="gramStart"/>
      <w:r w:rsidRPr="008F0F61">
        <w:t>De par</w:t>
      </w:r>
      <w:proofErr w:type="gramEnd"/>
      <w:r w:rsidRPr="008F0F61">
        <w:t xml:space="preserve"> sa souplesse, la diversité des supports proposés (euros, </w:t>
      </w:r>
      <w:r w:rsidRPr="008F0F61">
        <w:rPr>
          <w:bdr w:val="none" w:sz="0" w:space="0" w:color="auto" w:frame="1"/>
        </w:rPr>
        <w:t>unités de compte</w:t>
      </w:r>
      <w:r w:rsidRPr="008F0F61">
        <w:t> ou </w:t>
      </w:r>
      <w:r w:rsidRPr="008F0F61">
        <w:rPr>
          <w:bdr w:val="none" w:sz="0" w:space="0" w:color="auto" w:frame="1"/>
        </w:rPr>
        <w:t>multi-supports) </w:t>
      </w:r>
      <w:r w:rsidRPr="008F0F61">
        <w:t>et ses multiples avantages juridiques et fiscaux, il reste à ce jour le placement favori des Français.</w:t>
      </w:r>
    </w:p>
    <w:p w14:paraId="2503424B" w14:textId="77777777" w:rsidR="008D272E" w:rsidRPr="008F0F61" w:rsidRDefault="008D272E" w:rsidP="009B63BE">
      <w:pPr>
        <w:pStyle w:val="CGPC-elearning"/>
      </w:pPr>
      <w:r w:rsidRPr="008F0F61">
        <w:t>La rédaction de la clause bénéficiaire permet au bénéficiaire désigné de percevoir le capital financier du contrat avec un droit immédiat sur les primes versées dès le jour de la souscription dudit contrat, sans intégrer la succession de l’assuré (article L. 132-12 du Code des assurances).</w:t>
      </w:r>
    </w:p>
    <w:p w14:paraId="0912EB40" w14:textId="77777777" w:rsidR="008D272E" w:rsidRPr="008F0F61" w:rsidRDefault="008D272E" w:rsidP="009B63BE">
      <w:pPr>
        <w:pStyle w:val="CGPC-elearning"/>
      </w:pPr>
      <w:r w:rsidRPr="008F0F61">
        <w:t>Quel que soit le bénéficiaire, le contrat d’assurance-vie constitue un excellent outil pour augmenter la part successorale d’une personne ou la créer si le bénéficiaire n’est pas un héritier (dans le respect des règles de la réserve héréditaire et de la quotité disponible).</w:t>
      </w:r>
    </w:p>
    <w:p w14:paraId="35D7ABF9" w14:textId="77777777" w:rsidR="008D272E" w:rsidRPr="008F0F61" w:rsidRDefault="008D272E" w:rsidP="009B63BE">
      <w:pPr>
        <w:pStyle w:val="CGPC-elearning"/>
      </w:pPr>
      <w:r w:rsidRPr="008F0F61">
        <w:t>Lorsque le bénéficiaire du contrat est le conjoint, le capital décès, même s’il a été constitué avec des fonds communs, constitue pour lui un bien propre et aucune récompense n’est due à la communauté (sauf prime exagérées, v. module 3, leçon 2).</w:t>
      </w:r>
    </w:p>
    <w:p w14:paraId="2DED525D" w14:textId="77777777" w:rsidR="008D272E" w:rsidRPr="008F0F61" w:rsidRDefault="008D272E" w:rsidP="009B63BE">
      <w:pPr>
        <w:pStyle w:val="CGPC-elearning"/>
      </w:pPr>
      <w:r w:rsidRPr="008F0F61">
        <w:t>Le démembrement de la clause bénéficiaire permet de désigner deux bénéficiaires pour le même capital avec des droits différents : un bénéficiaire usufruitier, l’autre nu-propriétaire qui pourra disposer des fonds au décès de l’usufruitier.</w:t>
      </w:r>
    </w:p>
    <w:p w14:paraId="047D8AA3" w14:textId="77777777" w:rsidR="008D272E" w:rsidRPr="008F0F61" w:rsidRDefault="008D272E" w:rsidP="009B63BE">
      <w:pPr>
        <w:pStyle w:val="CGPC-elearning"/>
      </w:pPr>
      <w:r w:rsidRPr="008F0F61">
        <w:t>Les capitaux versés au bénéficiaire relèvent d’un régime fiscal favorable selon la date de souscription du contrat, du versement des primes et de l’âge de l’assuré lors de ces versements (v. module 3, leçon 2, chapitre 4).</w:t>
      </w:r>
    </w:p>
    <w:p w14:paraId="53AB6394" w14:textId="77777777" w:rsidR="00AB5284" w:rsidRDefault="00AB5284" w:rsidP="009B63BE">
      <w:pPr>
        <w:pStyle w:val="CGPC-elearning"/>
      </w:pPr>
    </w:p>
    <w:p w14:paraId="5F3C4250" w14:textId="796EC63C" w:rsidR="008D272E" w:rsidRDefault="00A70209" w:rsidP="009B63BE">
      <w:pPr>
        <w:pStyle w:val="Titre3"/>
        <w:rPr>
          <w:szCs w:val="36"/>
        </w:rPr>
      </w:pPr>
      <w:bookmarkStart w:id="12" w:name="_Toc220870961"/>
      <w:r>
        <w:t>Les c</w:t>
      </w:r>
      <w:r w:rsidR="008D272E">
        <w:t>ontrat</w:t>
      </w:r>
      <w:r>
        <w:t>s</w:t>
      </w:r>
      <w:r w:rsidR="008D272E">
        <w:t xml:space="preserve"> de capitalisation</w:t>
      </w:r>
      <w:bookmarkEnd w:id="12"/>
    </w:p>
    <w:p w14:paraId="3C80A1D4" w14:textId="77777777" w:rsidR="00AB5284" w:rsidRDefault="00AB5284"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5C8F29F" w14:textId="7F1DFD05" w:rsidR="008D272E" w:rsidRPr="008F0F61" w:rsidRDefault="008D272E" w:rsidP="009B63BE">
      <w:pPr>
        <w:pStyle w:val="CGPC-elearning"/>
      </w:pPr>
      <w:r w:rsidRPr="008F0F61">
        <w:t>Le contrat de capitalisation, ou bon de capitalisation, est un placement financier qui permet au souscripteur de réaliser une opération d’épargne. Le souscripteur verse en général une prime unique et, en contrepartie, l’assureur s’engage à restituer la valeur acquise du bon au terme du contrat.</w:t>
      </w:r>
    </w:p>
    <w:p w14:paraId="29108565" w14:textId="77777777" w:rsidR="008D272E" w:rsidRPr="008F0F61" w:rsidRDefault="008D272E" w:rsidP="009B63BE">
      <w:pPr>
        <w:pStyle w:val="CGPC-elearning"/>
      </w:pPr>
      <w:r w:rsidRPr="008F0F61">
        <w:t>Contrairement au contrat d’assurance-vie, le contrat de capitalisation ne comporte pas d’aléa lié à la durée de vie du souscripteur.</w:t>
      </w:r>
    </w:p>
    <w:p w14:paraId="79DA400A" w14:textId="0D4CE97B" w:rsidR="008D272E" w:rsidRPr="008F0F61" w:rsidRDefault="008D272E" w:rsidP="009B63BE">
      <w:pPr>
        <w:pStyle w:val="CGPC-elearning"/>
      </w:pPr>
      <w:r w:rsidRPr="008F0F61">
        <w:rPr>
          <w:noProof/>
          <w:bdr w:val="none" w:sz="0" w:space="0" w:color="auto" w:frame="1"/>
        </w:rPr>
        <w:drawing>
          <wp:inline distT="0" distB="0" distL="0" distR="0" wp14:anchorId="1B06607F" wp14:editId="49FD164A">
            <wp:extent cx="189865" cy="189865"/>
            <wp:effectExtent l="0" t="0" r="635" b="635"/>
            <wp:docPr id="185503746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8F0F61">
        <w:rPr>
          <w:rStyle w:val="Accentuation"/>
        </w:rPr>
        <w:t> </w:t>
      </w:r>
      <w:r w:rsidRPr="008F0F61">
        <w:rPr>
          <w:rStyle w:val="lev"/>
          <w:i/>
          <w:iCs/>
          <w:u w:val="single"/>
        </w:rPr>
        <w:t>À noter :</w:t>
      </w:r>
      <w:r w:rsidRPr="008F0F61">
        <w:rPr>
          <w:rStyle w:val="Accentuation"/>
        </w:rPr>
        <w:t> lorsqu’un contrat d’assurance-vie est souscrit à un moment où l’assuré est déjà atteint d’une maladie dont l’issue mortelle est quasi certaine, on considère que l’aléa n’existe pas et le contrat se trouve requalifié en donation indirecte.</w:t>
      </w:r>
    </w:p>
    <w:p w14:paraId="44D7C35B" w14:textId="77777777" w:rsidR="008D272E" w:rsidRPr="008F0F61" w:rsidRDefault="008D272E" w:rsidP="009B63BE">
      <w:pPr>
        <w:pStyle w:val="CGPC-elearning"/>
      </w:pPr>
      <w:r w:rsidRPr="008F0F61">
        <w:lastRenderedPageBreak/>
        <w:t>Au décès du souscripteur, le contrat de capitalisation intègre la succession et est soumis aux droits de succession applicables. Mais une fois transmis aux ayants droit, contrairement au contrat d’assurance-vie, le contrat de capitalisation subsiste et son antériorité fiscale conservée bénéficie à celui qui en a hérité.</w:t>
      </w:r>
    </w:p>
    <w:p w14:paraId="246E607D" w14:textId="77777777" w:rsidR="008D272E" w:rsidRPr="008F0F61" w:rsidRDefault="008D272E" w:rsidP="009B63BE">
      <w:pPr>
        <w:pStyle w:val="CGPC-elearning"/>
      </w:pPr>
      <w:r w:rsidRPr="008F0F61">
        <w:t>Le contrat de capitalisation peut faire l’objet d’une donation, dans une optique d’anticipation et d’organisation de la succession. Cette faculté permet notamment de profiter des abattements en ligne directe, qui se renouvellent tous les 15 ans. Elle n’existe pas avec un contrat d’assurance-vie : les bénéficiaires doivent attendre le décès du souscripteur pour en percevoir les montants.</w:t>
      </w:r>
    </w:p>
    <w:p w14:paraId="39785A80" w14:textId="77777777" w:rsidR="008D272E" w:rsidRPr="008F0F61" w:rsidRDefault="008D272E" w:rsidP="009B63BE">
      <w:pPr>
        <w:pStyle w:val="CGPC-elearning"/>
      </w:pPr>
      <w:r w:rsidRPr="008F0F61">
        <w:t>En cas de donation démembrée du contrat de capitalisation, seule la nue-propriété du contrat est transmise aux donataires, le donateur conservant l’usufruit et donc les revenus versés par le contrat (la valeur de l’usufruit et celle de la nue-propriété sont déterminées en fonction de l’âge de l’usufruitier). Ce démembrement permet de diminuer l’assiette des droits de donation, qui sont réduits à 60 % si le donateur a entre 61 et 70 ans ou à 70 % s’il est âgé de 71 à 80 ans.</w:t>
      </w:r>
    </w:p>
    <w:p w14:paraId="5934B817" w14:textId="2DA30F07" w:rsidR="007E113B" w:rsidRPr="008F0F61" w:rsidRDefault="008D272E" w:rsidP="009B63BE">
      <w:pPr>
        <w:pStyle w:val="CGPC-elearning"/>
      </w:pPr>
      <w:r w:rsidRPr="008F0F61">
        <w:t>Au décès du souscripteur/donateur, l’extinction de l’usufruit entraînant la reconstitution de la pleine propriété, le donataire ne sera soumis à aucune imposition supplémentaire. De plus, il conserve l’antériorité du contrat, ce qui lui permet en cas de retrait (si le contrat a plus de 8 ans) de profiter de l’application du prélèvement libératoire de 7,5 %. Si l’usufruitier renonce à toucher les revenus générés par le contrat, la somme des produits générés de son vivant entre la date du démembrement et la date du décès est totalement exonérée de droits de succession.</w:t>
      </w:r>
    </w:p>
    <w:p w14:paraId="63845CFA" w14:textId="77777777" w:rsidR="007E113B" w:rsidRPr="008F0F61" w:rsidRDefault="007E113B" w:rsidP="009B63BE">
      <w:pPr>
        <w:pStyle w:val="CGPC-elearning"/>
      </w:pPr>
      <w:r w:rsidRPr="008F0F61">
        <w:br w:type="page"/>
      </w:r>
    </w:p>
    <w:p w14:paraId="5594197F" w14:textId="4F31A00A" w:rsidR="008D272E" w:rsidRDefault="00BC4207" w:rsidP="005F5410">
      <w:pPr>
        <w:pStyle w:val="CGPC-elearning"/>
        <w:ind w:left="0"/>
      </w:pPr>
      <w:r>
        <w:rPr>
          <w:noProof/>
        </w:rPr>
        <w:lastRenderedPageBreak/>
        <mc:AlternateContent>
          <mc:Choice Requires="wps">
            <w:drawing>
              <wp:anchor distT="0" distB="0" distL="114300" distR="114300" simplePos="0" relativeHeight="251657216" behindDoc="1" locked="0" layoutInCell="1" allowOverlap="1" wp14:anchorId="3DD57DF8" wp14:editId="5254559B">
                <wp:simplePos x="0" y="0"/>
                <wp:positionH relativeFrom="column">
                  <wp:posOffset>-514350</wp:posOffset>
                </wp:positionH>
                <wp:positionV relativeFrom="paragraph">
                  <wp:posOffset>-898525</wp:posOffset>
                </wp:positionV>
                <wp:extent cx="14354175" cy="10172700"/>
                <wp:effectExtent l="0" t="0" r="28575" b="19050"/>
                <wp:wrapNone/>
                <wp:docPr id="382942105" name="Rectangle 7"/>
                <wp:cNvGraphicFramePr/>
                <a:graphic xmlns:a="http://schemas.openxmlformats.org/drawingml/2006/main">
                  <a:graphicData uri="http://schemas.microsoft.com/office/word/2010/wordprocessingShape">
                    <wps:wsp>
                      <wps:cNvSpPr/>
                      <wps:spPr>
                        <a:xfrm>
                          <a:off x="0" y="0"/>
                          <a:ext cx="14354175" cy="101727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232EDC" id="Rectangle 7" o:spid="_x0000_s1026" style="position:absolute;margin-left:-40.5pt;margin-top:-70.75pt;width:1130.25pt;height:801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" fillcolor="#4472c4 [3204]" strokecolor="#09101d [484]" strokeweight="1pt"/>
            </w:pict>
          </mc:Fallback>
        </mc:AlternateContent>
      </w:r>
    </w:p>
    <w:p w14:paraId="082D6A3C" w14:textId="7FC9E690" w:rsidR="007E113B" w:rsidRDefault="007E113B" w:rsidP="009B63BE">
      <w:pPr>
        <w:pStyle w:val="CGPC-elearning"/>
      </w:pPr>
    </w:p>
    <w:p w14:paraId="322EC15B" w14:textId="232314C6" w:rsidR="007E113B" w:rsidRDefault="007E113B" w:rsidP="009B63BE">
      <w:pPr>
        <w:pStyle w:val="CGPC-elearning"/>
      </w:pPr>
    </w:p>
    <w:p w14:paraId="4894AA54" w14:textId="756770FB" w:rsidR="007E113B" w:rsidRDefault="007E113B" w:rsidP="009B63BE">
      <w:pPr>
        <w:pStyle w:val="CGPC-elearning"/>
      </w:pPr>
    </w:p>
    <w:p w14:paraId="4C0317F3" w14:textId="67F64899" w:rsidR="007E113B" w:rsidRDefault="007E113B" w:rsidP="009B63BE">
      <w:pPr>
        <w:pStyle w:val="CGPC-elearning"/>
      </w:pPr>
    </w:p>
    <w:p w14:paraId="2805707F" w14:textId="42FC6FC4" w:rsidR="007E113B" w:rsidRDefault="007E113B" w:rsidP="00B75225">
      <w:pPr>
        <w:pStyle w:val="CGPC-elearning"/>
        <w:ind w:left="0"/>
      </w:pPr>
    </w:p>
    <w:p w14:paraId="2F30ABDE" w14:textId="3F30B575" w:rsidR="007E113B" w:rsidRDefault="007E113B" w:rsidP="009B63BE">
      <w:pPr>
        <w:pStyle w:val="CGPC-elearning"/>
      </w:pPr>
    </w:p>
    <w:p w14:paraId="61571246" w14:textId="77777777" w:rsidR="007E113B" w:rsidRDefault="007E113B" w:rsidP="009B63BE">
      <w:pPr>
        <w:pStyle w:val="CGPC-elearning"/>
      </w:pPr>
    </w:p>
    <w:p w14:paraId="7CEA5F70" w14:textId="77777777" w:rsidR="00AB5284" w:rsidRDefault="00AB5284" w:rsidP="009B63BE">
      <w:pPr>
        <w:pStyle w:val="CGPC-elearning"/>
      </w:pPr>
    </w:p>
    <w:p w14:paraId="56873128" w14:textId="36AC693F" w:rsidR="007E113B" w:rsidRPr="001A0554" w:rsidRDefault="008143CA" w:rsidP="001A0554">
      <w:pPr>
        <w:pStyle w:val="Titre2"/>
      </w:pPr>
      <w:bookmarkStart w:id="13" w:name="_Toc220870962"/>
      <w:r w:rsidRPr="001A0554">
        <w:t>Utiliser l</w:t>
      </w:r>
      <w:r w:rsidR="008D272E" w:rsidRPr="001A0554">
        <w:t>a transférabilité des enveloppes</w:t>
      </w:r>
      <w:r w:rsidRPr="001A0554">
        <w:t xml:space="preserve"> des placements financiers</w:t>
      </w:r>
      <w:bookmarkEnd w:id="13"/>
    </w:p>
    <w:p w14:paraId="760DEF91" w14:textId="280A664F" w:rsidR="008D272E" w:rsidRPr="007E113B" w:rsidRDefault="007E113B" w:rsidP="009B63BE">
      <w:pPr>
        <w:pStyle w:val="CGPC-elearning"/>
        <w:rPr>
          <w:rFonts w:eastAsiaTheme="majorEastAsia"/>
          <w:color w:val="3A5D9C"/>
          <w:sz w:val="48"/>
          <w:szCs w:val="26"/>
          <w:bdr w:val="none" w:sz="0" w:space="0" w:color="auto" w:frame="1"/>
        </w:rPr>
      </w:pPr>
      <w:r>
        <w:br w:type="page"/>
      </w:r>
    </w:p>
    <w:p w14:paraId="5AF29CF1" w14:textId="77777777" w:rsidR="00AB5284" w:rsidRDefault="00AB5284" w:rsidP="008D272E">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10628D0" w14:textId="77777777" w:rsidR="00BE1833" w:rsidRDefault="00BE1833" w:rsidP="009B63BE">
      <w:pPr>
        <w:pStyle w:val="CGPC-elearning"/>
      </w:pPr>
    </w:p>
    <w:p w14:paraId="1B75AD77" w14:textId="63FD8C8F" w:rsidR="008D272E" w:rsidRDefault="008D272E" w:rsidP="009B63BE">
      <w:pPr>
        <w:pStyle w:val="CGPC-elearning"/>
      </w:pPr>
      <w:r>
        <w:t>Les enveloppes (fiscales) peuvent être définies simplement comme des cadres légaux ouvrant droit à des réductions, voire à des exonérations d’impôt sur les revenus et/ou les plus-values de cession d’une épargne investie en actifs financiers.</w:t>
      </w:r>
    </w:p>
    <w:p w14:paraId="0C8C7138" w14:textId="77777777" w:rsidR="008D272E" w:rsidRDefault="008D272E" w:rsidP="009B63BE">
      <w:pPr>
        <w:pStyle w:val="CGPC-elearning"/>
      </w:pPr>
      <w:r>
        <w:t>La transférabilité des enveloppes permet de changer d’établissement et de produit sans avoir à clôturer les placements financiers concernés, ce qui évite de perdre leur ancienneté ou l’historique des investissements.</w:t>
      </w:r>
    </w:p>
    <w:p w14:paraId="02E033A9" w14:textId="77777777" w:rsidR="008D272E" w:rsidRDefault="008D272E" w:rsidP="009B63BE">
      <w:pPr>
        <w:pStyle w:val="CGPC-elearning"/>
      </w:pPr>
      <w:r>
        <w:t>Les enveloppes ne sont transférables que lorsqu’elles sont de même nature : on peut par exemple transférer un PEA (plan d’épargne en actions) bancaire vers un PEA assurance ou un PEP (plan d’épargne populaire) bancaire vers un PEP assurance ou encore un contrat d’épargne retraite souscrit avant le 1</w:t>
      </w:r>
      <w:r>
        <w:rPr>
          <w:bdr w:val="none" w:sz="0" w:space="0" w:color="auto" w:frame="1"/>
          <w:vertAlign w:val="superscript"/>
        </w:rPr>
        <w:t>er</w:t>
      </w:r>
      <w:r>
        <w:t> octobre 2019 vers un PER (plan d’épargne retraite) *.</w:t>
      </w:r>
    </w:p>
    <w:p w14:paraId="6E2A845A" w14:textId="77777777" w:rsidR="008D272E" w:rsidRDefault="008D272E" w:rsidP="009B63BE">
      <w:pPr>
        <w:pStyle w:val="CGPC-elearning"/>
      </w:pPr>
      <w:r>
        <w:t>En revanche, un PEA ne peut pas être transféré vers un compte titres : il faudra préalablement clôturer le PEA (subir l’éventuelle taxation des plus-values et celles des prélèvements sociaux) et transférer les titres vers le compte titres.</w:t>
      </w:r>
    </w:p>
    <w:p w14:paraId="7024661C" w14:textId="77777777" w:rsidR="008D272E" w:rsidRDefault="008D272E" w:rsidP="009B63BE">
      <w:pPr>
        <w:pStyle w:val="CGPC-elearning"/>
      </w:pPr>
      <w:r>
        <w:t>Les possibilités de transfert sont les suivantes.</w:t>
      </w:r>
    </w:p>
    <w:p w14:paraId="7C27DF04" w14:textId="77777777" w:rsidR="00EE3EE6" w:rsidRDefault="00EE3EE6" w:rsidP="009B63BE">
      <w:pPr>
        <w:pStyle w:val="CGPC-elearning"/>
      </w:pPr>
    </w:p>
    <w:p w14:paraId="33F1E536" w14:textId="77777777" w:rsidR="00B2240A" w:rsidRDefault="00B2240A" w:rsidP="009B63BE">
      <w:pPr>
        <w:pStyle w:val="CGPC-elearning"/>
      </w:pPr>
    </w:p>
    <w:p w14:paraId="3F6E22DA" w14:textId="77777777" w:rsidR="008D272E" w:rsidRPr="00EE3EE6" w:rsidRDefault="008D272E" w:rsidP="009B63BE">
      <w:pPr>
        <w:pStyle w:val="Titre3"/>
        <w:numPr>
          <w:ilvl w:val="0"/>
          <w:numId w:val="45"/>
        </w:numPr>
      </w:pPr>
      <w:bookmarkStart w:id="14" w:name="_Toc220870963"/>
      <w:r w:rsidRPr="00EE3EE6">
        <w:t>Transfert d’un PEA bancaire vers un PEA assurance (contrat de capitalisation)</w:t>
      </w:r>
      <w:bookmarkEnd w:id="14"/>
    </w:p>
    <w:p w14:paraId="7FA76782" w14:textId="77777777" w:rsidR="00EE3EE6" w:rsidRDefault="00EE3EE6" w:rsidP="009B63BE">
      <w:pPr>
        <w:pStyle w:val="CGPC-elearning"/>
      </w:pPr>
    </w:p>
    <w:p w14:paraId="7F3BE793" w14:textId="780C01A1" w:rsidR="008D272E" w:rsidRDefault="008D272E" w:rsidP="009B63BE">
      <w:pPr>
        <w:pStyle w:val="CGPC-elearning"/>
      </w:pPr>
      <w:r>
        <w:t>Ce transfert permet notamment de bénéficier d’une rente viagère à la sortie d’un PEA de plus de 8 ans.</w:t>
      </w:r>
    </w:p>
    <w:p w14:paraId="382FDF33" w14:textId="61582304" w:rsidR="008D272E" w:rsidRPr="003C735E" w:rsidRDefault="008D272E" w:rsidP="009B63BE">
      <w:pPr>
        <w:pStyle w:val="CGPC-elearning"/>
        <w:rPr>
          <w:rStyle w:val="Accentuation"/>
          <w:i w:val="0"/>
          <w:iCs w:val="0"/>
        </w:rPr>
      </w:pPr>
      <w:r w:rsidRPr="003C735E">
        <w:rPr>
          <w:rStyle w:val="lev"/>
          <w:i/>
          <w:iCs/>
        </w:rPr>
        <w:t>Attention :</w:t>
      </w:r>
      <w:r w:rsidRPr="003C735E">
        <w:rPr>
          <w:rStyle w:val="Accentuation"/>
          <w:i w:val="0"/>
          <w:iCs w:val="0"/>
        </w:rPr>
        <w:t> tous les titres détenus au sein du PEA bancaire doivent être impérativement cédés avant un transfert vers un PEA assurance, l’antériorité fiscale du plan étant conservée. À la différence du PEA bancaire, aucun titre ne peut être détenu en direct dans un PEA assurance. L’épargnant ne pourra investir que dans des unités de comptes du contrat de capitalisation, unités qui figurent dans la liste proposée par la compagnie d’assurance.</w:t>
      </w:r>
    </w:p>
    <w:p w14:paraId="2B3012F9" w14:textId="77777777" w:rsidR="00EE3EE6" w:rsidRDefault="00EE3EE6" w:rsidP="009B63BE">
      <w:pPr>
        <w:pStyle w:val="CGPC-elearning"/>
      </w:pPr>
    </w:p>
    <w:p w14:paraId="3FEE4B5D" w14:textId="77777777" w:rsidR="00BE1833" w:rsidRDefault="00BE1833" w:rsidP="009B63BE">
      <w:pPr>
        <w:pStyle w:val="CGPC-elearning"/>
      </w:pPr>
    </w:p>
    <w:p w14:paraId="1F92777A" w14:textId="77777777" w:rsidR="008D272E" w:rsidRPr="00EE3EE6" w:rsidRDefault="008D272E" w:rsidP="009B63BE">
      <w:pPr>
        <w:pStyle w:val="Titre3"/>
      </w:pPr>
      <w:bookmarkStart w:id="15" w:name="_Toc220870964"/>
      <w:r w:rsidRPr="00EE3EE6">
        <w:lastRenderedPageBreak/>
        <w:t>Transfert d’un PEP bancaire vers un PEP assurance</w:t>
      </w:r>
      <w:bookmarkEnd w:id="15"/>
    </w:p>
    <w:p w14:paraId="72C95A27" w14:textId="77777777" w:rsidR="00EE3EE6" w:rsidRDefault="00EE3EE6" w:rsidP="009B63BE">
      <w:pPr>
        <w:pStyle w:val="CGPC-elearning"/>
      </w:pPr>
    </w:p>
    <w:p w14:paraId="50FE55E4" w14:textId="543AE754" w:rsidR="008D272E" w:rsidRDefault="008D272E" w:rsidP="009B63BE">
      <w:pPr>
        <w:pStyle w:val="CGPC-elearning"/>
      </w:pPr>
      <w:r>
        <w:t>Le plan d’épargne populaire (PEP) est un support de placement sur lequel il est possible d’effectuer des versements affectés sur un compte de dépôt rémunéré (PEP bancaire) ou sur un contrat d’assurance-vie (PEP assurance-vie). Depuis le 25 septembre 2003, ce produit d’épargne longue n’est plus commercialisé. Les épargnants qui en possèdent déjà un peuvent le conserver ou le transférer.</w:t>
      </w:r>
    </w:p>
    <w:p w14:paraId="4831EC1C" w14:textId="77777777" w:rsidR="008D272E" w:rsidRDefault="008D272E" w:rsidP="009B63BE">
      <w:pPr>
        <w:pStyle w:val="CGPC-elearning"/>
      </w:pPr>
      <w:r>
        <w:t>Le transfert d’un PEP bancaire existant sur un PEP assurance est possible, sans remise en cause de l’antériorité fiscale. Le transfert permet au contribuable de bénéficier :</w:t>
      </w:r>
    </w:p>
    <w:p w14:paraId="18CDB1BC" w14:textId="3DD500C4" w:rsidR="008D272E" w:rsidRDefault="00EE3EE6" w:rsidP="009B63BE">
      <w:pPr>
        <w:pStyle w:val="CGPC-elearning"/>
      </w:pPr>
      <w:r>
        <w:t xml:space="preserve">- </w:t>
      </w:r>
      <w:r w:rsidR="008D272E">
        <w:t>non seulement des avantages fiscaux liés au PEP bancaire, à savoir la garantie juridique du capital après 8 ans, l’exonération totale d’impôts sur les intérêts après 8 ans ou encore l’ancienneté du contrat ;</w:t>
      </w:r>
    </w:p>
    <w:p w14:paraId="26284161" w14:textId="369DA2F9" w:rsidR="008D272E" w:rsidRDefault="00EE3EE6" w:rsidP="009B63BE">
      <w:pPr>
        <w:pStyle w:val="CGPC-elearning"/>
      </w:pPr>
      <w:r>
        <w:t xml:space="preserve">- </w:t>
      </w:r>
      <w:r w:rsidR="008D272E">
        <w:t>mais également du cadre privilégié de la fiscalité successorale de l’assurance-vie ;</w:t>
      </w:r>
    </w:p>
    <w:p w14:paraId="29DDD839" w14:textId="77777777" w:rsidR="00EE3EE6" w:rsidRDefault="00EE3EE6" w:rsidP="009B63BE">
      <w:pPr>
        <w:pStyle w:val="CGPC-elearning"/>
      </w:pPr>
    </w:p>
    <w:p w14:paraId="7160F609" w14:textId="77777777" w:rsidR="008D272E" w:rsidRPr="00EE3EE6" w:rsidRDefault="008D272E" w:rsidP="009B63BE">
      <w:pPr>
        <w:pStyle w:val="Titre3"/>
      </w:pPr>
      <w:bookmarkStart w:id="16" w:name="_Toc220870965"/>
      <w:r w:rsidRPr="00EE3EE6">
        <w:rPr>
          <w:rStyle w:val="lev"/>
          <w:b/>
          <w:bCs/>
        </w:rPr>
        <w:t>Transfert des anciens contrats d’épargne retraite vers un plan d’épargne retraite (PER)</w:t>
      </w:r>
      <w:bookmarkEnd w:id="16"/>
    </w:p>
    <w:p w14:paraId="1B9E86D9" w14:textId="77777777" w:rsidR="00EE3EE6" w:rsidRDefault="00EE3EE6" w:rsidP="009B63BE">
      <w:pPr>
        <w:pStyle w:val="CGPC-elearning"/>
      </w:pPr>
    </w:p>
    <w:p w14:paraId="2FCBA245" w14:textId="370D7DC4" w:rsidR="008D272E" w:rsidRDefault="008D272E" w:rsidP="009B63BE">
      <w:pPr>
        <w:pStyle w:val="CGPC-elearning"/>
      </w:pPr>
      <w:r>
        <w:t>Le PER est un dispositif d’épargne à long terme pour disposer d’une rente ou d’un capital au moment de la retraite. Il comporte 3 compartiments :</w:t>
      </w:r>
    </w:p>
    <w:p w14:paraId="1BABE0D3" w14:textId="68D7A3BB" w:rsidR="008D272E" w:rsidRDefault="00EE3EE6" w:rsidP="009B63BE">
      <w:pPr>
        <w:pStyle w:val="CGPC-elearning"/>
      </w:pPr>
      <w:r>
        <w:t xml:space="preserve">- </w:t>
      </w:r>
      <w:r w:rsidR="008D272E">
        <w:t>compartiment 1 (compartiment individuel) : le PER est alimenté par les versements volontaires de l’épargnant. La sortie est possible à 100 % y compris pour l’acquisition de sa résidence principale. La sortie en rente est possible sur option ;</w:t>
      </w:r>
    </w:p>
    <w:p w14:paraId="2BDCAF95" w14:textId="7387EA66" w:rsidR="008D272E" w:rsidRDefault="00EE3EE6" w:rsidP="009B63BE">
      <w:pPr>
        <w:pStyle w:val="CGPC-elearning"/>
      </w:pPr>
      <w:r>
        <w:t xml:space="preserve">- </w:t>
      </w:r>
      <w:r w:rsidR="008D272E">
        <w:t>compartiment 2 (comportement collectif) : il est alimenté par les sommes issues de la participation, l’intéressement, l’abondement, le transfert de jours de repos. La sortie est possible en capital à 100 % y compris pour l’acquisition de sa résidence principale. La sortie en rente est possible sur option ;</w:t>
      </w:r>
    </w:p>
    <w:p w14:paraId="4C48B20F" w14:textId="48DA49AD" w:rsidR="008D272E" w:rsidRDefault="00EE3EE6" w:rsidP="009B63BE">
      <w:pPr>
        <w:pStyle w:val="CGPC-elearning"/>
      </w:pPr>
      <w:r>
        <w:t xml:space="preserve">- </w:t>
      </w:r>
      <w:r w:rsidR="008D272E">
        <w:t>compartiment 3 (compartiment catégoriel) : il est alimenté par les versements obligatoires de l’entreprise ou du salarié. La sortie se fait obligatoirement sous forme de rente viagère.</w:t>
      </w:r>
    </w:p>
    <w:p w14:paraId="67A98E33" w14:textId="64D399D3" w:rsidR="00EE3EE6" w:rsidRDefault="008D272E" w:rsidP="009B63BE">
      <w:pPr>
        <w:pStyle w:val="CGPC-elearning"/>
      </w:pPr>
      <w:r>
        <w:lastRenderedPageBreak/>
        <w:t>La loi </w:t>
      </w:r>
      <w:r w:rsidRPr="008F2039">
        <w:rPr>
          <w:rStyle w:val="Accentuation"/>
          <w:sz w:val="40"/>
          <w:szCs w:val="40"/>
        </w:rPr>
        <w:t>Pacte</w:t>
      </w:r>
      <w:r w:rsidRPr="008F2039">
        <w:rPr>
          <w:sz w:val="56"/>
          <w:szCs w:val="56"/>
        </w:rPr>
        <w:t> </w:t>
      </w:r>
      <w:r>
        <w:t>promulguée le 22 mai 2019 permet de transférer l’épargne retraite constituée sur un ancien produit (PERCO, PERP, Madelin, article 83) vers un PER (individuel ou collectif selon la nature du contrat initial).</w:t>
      </w:r>
    </w:p>
    <w:p w14:paraId="657CF9A4" w14:textId="77777777" w:rsidR="008F2039" w:rsidRDefault="008F2039" w:rsidP="009B63BE">
      <w:pPr>
        <w:pStyle w:val="CGPC-elearning"/>
      </w:pPr>
    </w:p>
    <w:p w14:paraId="09B6D75B" w14:textId="77777777" w:rsidR="008D272E" w:rsidRPr="00EE3EE6" w:rsidRDefault="008D272E" w:rsidP="009B63BE">
      <w:pPr>
        <w:pStyle w:val="Titre3"/>
      </w:pPr>
      <w:bookmarkStart w:id="17" w:name="_Toc220870966"/>
      <w:r w:rsidRPr="00EE3EE6">
        <w:t>Transfert du PERP et du contrat Madelin vers un PER</w:t>
      </w:r>
      <w:bookmarkEnd w:id="17"/>
    </w:p>
    <w:p w14:paraId="6B0C7170" w14:textId="77777777" w:rsidR="00EE3EE6" w:rsidRDefault="00EE3EE6" w:rsidP="009B63BE">
      <w:pPr>
        <w:pStyle w:val="CGPC-elearning"/>
      </w:pPr>
    </w:p>
    <w:p w14:paraId="46706818" w14:textId="3BE6DB80" w:rsidR="008D272E" w:rsidRDefault="00EE3EE6" w:rsidP="009B63BE">
      <w:pPr>
        <w:pStyle w:val="CGPC-elearning"/>
      </w:pPr>
      <w:r>
        <w:t xml:space="preserve">Les </w:t>
      </w:r>
      <w:r w:rsidR="008D272E">
        <w:t>contrats d’épargne retraite ouverts à titre individuel (PERP et Madelin) sont transférables à tout moment, en totalité, vers le compartiment 1 du PER. Ainsi, tous les avoirs qui ne pouvaient jusqu’à présent sortir qu’en rente viagère (ou à 80 % minimum sur le PERP) pourront, une fois transférés, sortir en capital.</w:t>
      </w:r>
    </w:p>
    <w:p w14:paraId="14E635D9" w14:textId="77777777" w:rsidR="00EE3EE6" w:rsidRDefault="00EE3EE6" w:rsidP="009B63BE">
      <w:pPr>
        <w:pStyle w:val="CGPC-elearning"/>
        <w:rPr>
          <w:rStyle w:val="lev"/>
          <w:sz w:val="21"/>
          <w:szCs w:val="21"/>
        </w:rPr>
      </w:pPr>
    </w:p>
    <w:p w14:paraId="615636BC" w14:textId="227F9E3C" w:rsidR="008D272E" w:rsidRPr="00EE3EE6" w:rsidRDefault="008D272E" w:rsidP="009B63BE">
      <w:pPr>
        <w:pStyle w:val="Titre3"/>
      </w:pPr>
      <w:bookmarkStart w:id="18" w:name="_Toc220870967"/>
      <w:r w:rsidRPr="00EE3EE6">
        <w:t>Transfert du PERP vers un PER</w:t>
      </w:r>
      <w:bookmarkEnd w:id="18"/>
    </w:p>
    <w:p w14:paraId="72E1D74E" w14:textId="77777777" w:rsidR="00EE3EE6" w:rsidRDefault="00EE3EE6" w:rsidP="009B63BE">
      <w:pPr>
        <w:pStyle w:val="CGPC-elearning"/>
      </w:pPr>
    </w:p>
    <w:p w14:paraId="437EB837" w14:textId="4EBE3AC8" w:rsidR="008D272E" w:rsidRDefault="008D272E" w:rsidP="009B63BE">
      <w:pPr>
        <w:pStyle w:val="CGPC-elearning"/>
      </w:pPr>
      <w:r>
        <w:t>Les PERCO (plans d’épargne retraite collectifs) sont transférables vers le compartiment 2 du PER. Lors d’un transfert de l’ancien PERCO vers le nouveau PER, on ne fait pas de distinction entre les sommes issues des versements volontaires et celles qui sont issues de l’intéressement, de la participation ou de l’abondement. Tout l’ancien PERCO arrivera sur le compartiment 2 du PER.</w:t>
      </w:r>
    </w:p>
    <w:p w14:paraId="6F6E01BA" w14:textId="77777777" w:rsidR="008D272E" w:rsidRPr="00EE3EE6" w:rsidRDefault="008D272E" w:rsidP="009B63BE">
      <w:pPr>
        <w:pStyle w:val="Titre3"/>
      </w:pPr>
      <w:bookmarkStart w:id="19" w:name="_Toc220870968"/>
      <w:r w:rsidRPr="00EE3EE6">
        <w:t>Transfert d’un contrat article 83 vers un PER</w:t>
      </w:r>
      <w:bookmarkEnd w:id="19"/>
    </w:p>
    <w:p w14:paraId="26D60051" w14:textId="77777777" w:rsidR="00EE3EE6" w:rsidRDefault="00EE3EE6" w:rsidP="009B63BE">
      <w:pPr>
        <w:pStyle w:val="CGPC-elearning"/>
      </w:pPr>
    </w:p>
    <w:p w14:paraId="6A451E0D" w14:textId="41EC71C9" w:rsidR="008D272E" w:rsidRDefault="008D272E" w:rsidP="009B63BE">
      <w:pPr>
        <w:pStyle w:val="CGPC-elearning"/>
      </w:pPr>
      <w:r>
        <w:t>Les contrats « article 83 » sont transférables uniquement lorsque l’adhérent n’est plus tenu d’y adhérer. Le transfert est donc possible lorsque l’adhérent n’est plus salarié de l’entreprise. Certains assureurs acceptent également de transférer des contrats mis en réduction sur lesquels aucune cotisation n’est versée.</w:t>
      </w:r>
    </w:p>
    <w:p w14:paraId="789EBEB2" w14:textId="77777777" w:rsidR="008D272E" w:rsidRDefault="008D272E" w:rsidP="009B63BE">
      <w:pPr>
        <w:pStyle w:val="CGPC-elearning"/>
      </w:pPr>
      <w:r>
        <w:t xml:space="preserve">Les cotisations obligatoires d’un article 83 (versées par l’entreprise et le salarié) sont transférables vers le compartiment 3 ; elles ne pourront donc pas sortir sous forme de capital mais seulement en rente. Les versements individuels facultatifs (VIF) réalisés sur un article 83 sont transférables vers le compartiment 1 du PER et pourront sortir en capital. Au moment du transfert, c’est à l’assureur de faire la distinction entre les deux types de versements (versement individuel facultatif et cotisations obligatoires) pour que l’épargne soit transférée vers le compartiment adapté (compartiment 1 pour les VIF, compartiment 3 pour les cotisations obligatoires). Si l’assureur n’est pas </w:t>
      </w:r>
      <w:r>
        <w:lastRenderedPageBreak/>
        <w:t>en mesure de distinguer les types de versements, l’épargne est transférée vers le compartiment 3 sauf si l’épargnant est en mesure de justifier l’origine des versements.</w:t>
      </w:r>
    </w:p>
    <w:p w14:paraId="7D06BB08" w14:textId="77777777" w:rsidR="008D272E" w:rsidRDefault="008D272E" w:rsidP="009B63BE">
      <w:pPr>
        <w:pStyle w:val="CGPC-elearning"/>
      </w:pPr>
      <w:r>
        <w:rPr>
          <w:rStyle w:val="lev"/>
          <w:sz w:val="21"/>
          <w:szCs w:val="21"/>
        </w:rPr>
        <w:t> </w:t>
      </w:r>
    </w:p>
    <w:p w14:paraId="0642123A" w14:textId="77777777" w:rsidR="008D272E" w:rsidRPr="00EE3EE6" w:rsidRDefault="008D272E" w:rsidP="009B63BE">
      <w:pPr>
        <w:pStyle w:val="Titre3"/>
      </w:pPr>
      <w:bookmarkStart w:id="20" w:name="_Toc220870969"/>
      <w:r w:rsidRPr="00EE3EE6">
        <w:t>Transfert d’un contrat d’assurance-vie vers un PER</w:t>
      </w:r>
      <w:bookmarkEnd w:id="20"/>
    </w:p>
    <w:p w14:paraId="0AC03E52" w14:textId="77777777" w:rsidR="00EE3EE6" w:rsidRDefault="00EE3EE6" w:rsidP="009B63BE">
      <w:pPr>
        <w:pStyle w:val="CGPC-elearning"/>
      </w:pPr>
    </w:p>
    <w:p w14:paraId="2FC1F956" w14:textId="5E08981B" w:rsidR="008D272E" w:rsidRDefault="008D272E" w:rsidP="009B63BE">
      <w:pPr>
        <w:pStyle w:val="CGPC-elearning"/>
      </w:pPr>
      <w:r>
        <w:t>La loi </w:t>
      </w:r>
      <w:r>
        <w:rPr>
          <w:rStyle w:val="Accentuation"/>
          <w:sz w:val="21"/>
          <w:szCs w:val="21"/>
        </w:rPr>
        <w:t>Pacte</w:t>
      </w:r>
      <w:r>
        <w:t> offrait la possibilité de transférer, </w:t>
      </w:r>
      <w:hyperlink r:id="rId15" w:history="1">
        <w:r>
          <w:rPr>
            <w:rStyle w:val="Lienhypertexte"/>
            <w:color w:val="2C498B"/>
            <w:sz w:val="21"/>
            <w:szCs w:val="21"/>
            <w:bdr w:val="none" w:sz="0" w:space="0" w:color="auto" w:frame="1"/>
          </w:rPr>
          <w:t>avant le 1er</w:t>
        </w:r>
      </w:hyperlink>
      <w:r>
        <w:t> </w:t>
      </w:r>
      <w:hyperlink r:id="rId16" w:history="1">
        <w:r>
          <w:rPr>
            <w:rStyle w:val="Lienhypertexte"/>
            <w:color w:val="2C498B"/>
            <w:sz w:val="21"/>
            <w:szCs w:val="21"/>
            <w:bdr w:val="none" w:sz="0" w:space="0" w:color="auto" w:frame="1"/>
          </w:rPr>
          <w:t>janvier 2023,</w:t>
        </w:r>
      </w:hyperlink>
      <w:r>
        <w:t> des sommes issues de contrats d’assurance-vie de plus de 8 ans vers le nouveau plan d’épargne retraite PER.</w:t>
      </w:r>
    </w:p>
    <w:p w14:paraId="4045C50D" w14:textId="47EAD866" w:rsidR="008D272E" w:rsidRDefault="008D272E" w:rsidP="009B63BE">
      <w:pPr>
        <w:pStyle w:val="CGPC-elearning"/>
      </w:pPr>
      <w:r>
        <w:t>Elle permet de bénéficier d’un second abattement sur les plus-values (4 600 € pour un célibataire, 9 200 € pour un couple) lors d’un rachat sur un contrat d’assurance-vie, si les conditions suivantes sont remplies :</w:t>
      </w:r>
    </w:p>
    <w:p w14:paraId="4FA56188" w14:textId="4955BA8A" w:rsidR="008D272E" w:rsidRDefault="00EE3EE6" w:rsidP="009B63BE">
      <w:pPr>
        <w:pStyle w:val="CGPC-elearning"/>
      </w:pPr>
      <w:r>
        <w:t xml:space="preserve">- </w:t>
      </w:r>
      <w:r w:rsidR="008D272E">
        <w:t>être âgé de moins de 57 ans ;</w:t>
      </w:r>
    </w:p>
    <w:p w14:paraId="169B8822" w14:textId="23602894" w:rsidR="008D272E" w:rsidRDefault="00EE3EE6" w:rsidP="009B63BE">
      <w:pPr>
        <w:pStyle w:val="CGPC-elearning"/>
      </w:pPr>
      <w:r>
        <w:t xml:space="preserve">- </w:t>
      </w:r>
      <w:r w:rsidR="008D272E">
        <w:t>avoir un contrat d’assurance-vie de plus de 8 ans ;</w:t>
      </w:r>
    </w:p>
    <w:p w14:paraId="67C23F24" w14:textId="44AFED56" w:rsidR="008D272E" w:rsidRDefault="00EE3EE6" w:rsidP="009B63BE">
      <w:pPr>
        <w:pStyle w:val="CGPC-elearning"/>
      </w:pPr>
      <w:r>
        <w:t xml:space="preserve">- </w:t>
      </w:r>
      <w:r w:rsidR="008D272E">
        <w:t>réinvestir l’intégralité de ce rachat sur un plan d’épargne retraite (PER).</w:t>
      </w:r>
    </w:p>
    <w:p w14:paraId="68105B1E" w14:textId="77777777" w:rsidR="00EE3EE6" w:rsidRDefault="00EE3EE6" w:rsidP="009B63BE">
      <w:pPr>
        <w:pStyle w:val="CGPC-elearning"/>
      </w:pPr>
    </w:p>
    <w:p w14:paraId="21FD2A29" w14:textId="2C30D2B6" w:rsidR="008D272E" w:rsidRDefault="008D272E" w:rsidP="009B63BE">
      <w:pPr>
        <w:pStyle w:val="CGPC-elearning"/>
      </w:pPr>
      <w:r>
        <w:t>L’avantage fiscal est double : l’exonération fiscale des plus-values (abattement spécial de 4 600 € ou 9 200 €) à la sortie et la déductibilité des sommes reversées sur un PER à l’entrée ! Toutefois, attention, en cas de « transfert » des sommes d’un contrat d’assurance-vie vers un PER, la déductibilité s’effectuera dans la limite du plafond épargne retraite globale.</w:t>
      </w:r>
    </w:p>
    <w:p w14:paraId="3DB2A321" w14:textId="084737D2" w:rsidR="00FD73FA" w:rsidRDefault="00FD73FA" w:rsidP="009B63BE">
      <w:pPr>
        <w:pStyle w:val="CGPC-elearning"/>
      </w:pPr>
    </w:p>
    <w:sectPr w:rsidR="00FD73FA" w:rsidSect="00134E09">
      <w:headerReference w:type="default" r:id="rId17"/>
      <w:footerReference w:type="default" r:id="rId18"/>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5F821" w14:textId="77777777" w:rsidR="00401B33" w:rsidRDefault="00401B33" w:rsidP="002020F9">
      <w:pPr>
        <w:spacing w:after="0" w:line="240" w:lineRule="auto"/>
      </w:pPr>
      <w:r>
        <w:separator/>
      </w:r>
    </w:p>
  </w:endnote>
  <w:endnote w:type="continuationSeparator" w:id="0">
    <w:p w14:paraId="3E239046" w14:textId="77777777" w:rsidR="00401B33" w:rsidRDefault="00401B33"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pen Sans">
    <w:charset w:val="00"/>
    <w:family w:val="swiss"/>
    <w:pitch w:val="variable"/>
    <w:sig w:usb0="E00002EF" w:usb1="4000205B" w:usb2="00000028" w:usb3="00000000" w:csb0="0000019F" w:csb1="00000000"/>
    <w:embedRegular r:id="rId1" w:fontKey="{4814706F-8A58-46A5-9508-9781942CD379}"/>
    <w:embedBold r:id="rId2" w:fontKey="{240A6877-6393-4DEA-A745-63C6C728FF03}"/>
    <w:embedItalic r:id="rId3" w:fontKey="{290081C0-CBD1-4722-A87A-FF5235659647}"/>
    <w:embedBoldItalic r:id="rId4" w:fontKey="{60BF0F8F-E465-4C8F-B591-7715D926D72E}"/>
  </w:font>
  <w:font w:name="Calibri">
    <w:panose1 w:val="020F0502020204030204"/>
    <w:charset w:val="00"/>
    <w:family w:val="swiss"/>
    <w:pitch w:val="variable"/>
    <w:sig w:usb0="E4002EFF" w:usb1="C200247B" w:usb2="00000009" w:usb3="00000000" w:csb0="000001FF" w:csb1="00000000"/>
    <w:embedRegular r:id="rId5" w:fontKey="{5CF394E3-2A60-40F8-8F9B-B50C357F9034}"/>
    <w:embedBold r:id="rId6" w:fontKey="{7AED19D7-D373-4662-9BAC-C898A4F6B140}"/>
    <w:embedItalic r:id="rId7" w:fontKey="{1C4FE805-F316-4144-8552-86B51F4F2476}"/>
    <w:embedBoldItalic r:id="rId8" w:fontKey="{C3DDAB45-99A3-4058-8E84-4184968AB7F1}"/>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D173F40E-664F-49B3-BF95-D463531BF2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B8C20" w14:textId="1C51DB4E" w:rsidR="00EE3EE6" w:rsidRDefault="000A2B6B">
    <w:pPr>
      <w:pStyle w:val="Pieddepage"/>
    </w:pPr>
    <w:r>
      <w:rPr>
        <w:noProof/>
        <w:color w:val="4472C4" w:themeColor="accent1"/>
      </w:rPr>
      <mc:AlternateContent>
        <mc:Choice Requires="wps">
          <w:drawing>
            <wp:anchor distT="0" distB="0" distL="114300" distR="114300" simplePos="0" relativeHeight="251658240" behindDoc="0" locked="0" layoutInCell="1" allowOverlap="1" wp14:anchorId="0B56EDB8" wp14:editId="20EA7008">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AF5A434"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A4C10" w14:textId="77777777" w:rsidR="00401B33" w:rsidRDefault="00401B33" w:rsidP="002020F9">
      <w:pPr>
        <w:spacing w:after="0" w:line="240" w:lineRule="auto"/>
      </w:pPr>
      <w:r>
        <w:separator/>
      </w:r>
    </w:p>
  </w:footnote>
  <w:footnote w:type="continuationSeparator" w:id="0">
    <w:p w14:paraId="1BC1A99D" w14:textId="77777777" w:rsidR="00401B33" w:rsidRDefault="00401B33"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6C65D" w14:textId="7121B389" w:rsidR="000A2B6B" w:rsidRDefault="000A2B6B">
    <w:pPr>
      <w:pStyle w:val="En-tte"/>
    </w:pPr>
    <w:r>
      <w:rPr>
        <w:noProof/>
      </w:rPr>
      <mc:AlternateContent>
        <mc:Choice Requires="wps">
          <w:drawing>
            <wp:anchor distT="0" distB="0" distL="118745" distR="118745" simplePos="0" relativeHeight="251658241" behindDoc="1" locked="0" layoutInCell="1" allowOverlap="0" wp14:anchorId="34F1719A" wp14:editId="2D9FEAE7">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63607E5" w14:textId="01318665" w:rsidR="000A2B6B" w:rsidRDefault="00BE1833">
                              <w:pPr>
                                <w:pStyle w:val="En-tte"/>
                                <w:jc w:val="center"/>
                                <w:rPr>
                                  <w:caps/>
                                  <w:color w:val="FFFFFF" w:themeColor="background1"/>
                                </w:rPr>
                              </w:pPr>
                              <w:r>
                                <w:rPr>
                                  <w:caps/>
                                  <w:color w:val="FFFFFF" w:themeColor="background1"/>
                                </w:rPr>
                                <w:t>Chapitre 4 : Du choix des modes de détention des actifs patrimoniaux</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4F1719A" id="Rectangle 200" o:spid="_x0000_s1026" style="position:absolute;left:0;text-align:left;margin-left:0;margin-top:0;width:468.5pt;height:21.3pt;z-index:-251658239;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63607E5" w14:textId="01318665" w:rsidR="000A2B6B" w:rsidRDefault="00BE1833">
                        <w:pPr>
                          <w:pStyle w:val="En-tte"/>
                          <w:jc w:val="center"/>
                          <w:rPr>
                            <w:caps/>
                            <w:color w:val="FFFFFF" w:themeColor="background1"/>
                          </w:rPr>
                        </w:pPr>
                        <w:r>
                          <w:rPr>
                            <w:caps/>
                            <w:color w:val="FFFFFF" w:themeColor="background1"/>
                          </w:rPr>
                          <w:t>Chapitre 4 : Du choix des modes de détention des actifs patrimoniaux</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5pt;height:491.5pt;visibility:visible;mso-wrap-style:square" o:bullet="t">
        <v:imagedata r:id="rId1" o:title=""/>
      </v:shape>
    </w:pict>
  </w:numPicBullet>
  <w:abstractNum w:abstractNumId="0" w15:restartNumberingAfterBreak="0">
    <w:nsid w:val="093C76D7"/>
    <w:multiLevelType w:val="multilevel"/>
    <w:tmpl w:val="B238A60A"/>
    <w:lvl w:ilvl="0">
      <w:start w:val="1"/>
      <w:numFmt w:val="bullet"/>
      <w:lvlText w:val=""/>
      <w:lvlJc w:val="left"/>
      <w:pPr>
        <w:tabs>
          <w:tab w:val="num" w:pos="-354"/>
        </w:tabs>
        <w:ind w:left="-354" w:hanging="360"/>
      </w:pPr>
      <w:rPr>
        <w:rFonts w:ascii="Symbol" w:hAnsi="Symbol" w:hint="default"/>
        <w:sz w:val="20"/>
      </w:rPr>
    </w:lvl>
    <w:lvl w:ilvl="1" w:tentative="1">
      <w:start w:val="1"/>
      <w:numFmt w:val="bullet"/>
      <w:lvlText w:val=""/>
      <w:lvlJc w:val="left"/>
      <w:pPr>
        <w:tabs>
          <w:tab w:val="num" w:pos="366"/>
        </w:tabs>
        <w:ind w:left="366" w:hanging="360"/>
      </w:pPr>
      <w:rPr>
        <w:rFonts w:ascii="Symbol" w:hAnsi="Symbol" w:hint="default"/>
        <w:sz w:val="20"/>
      </w:rPr>
    </w:lvl>
    <w:lvl w:ilvl="2" w:tentative="1">
      <w:start w:val="1"/>
      <w:numFmt w:val="bullet"/>
      <w:lvlText w:val=""/>
      <w:lvlJc w:val="left"/>
      <w:pPr>
        <w:tabs>
          <w:tab w:val="num" w:pos="1086"/>
        </w:tabs>
        <w:ind w:left="1086" w:hanging="360"/>
      </w:pPr>
      <w:rPr>
        <w:rFonts w:ascii="Symbol" w:hAnsi="Symbol" w:hint="default"/>
        <w:sz w:val="20"/>
      </w:rPr>
    </w:lvl>
    <w:lvl w:ilvl="3" w:tentative="1">
      <w:start w:val="1"/>
      <w:numFmt w:val="bullet"/>
      <w:lvlText w:val=""/>
      <w:lvlJc w:val="left"/>
      <w:pPr>
        <w:tabs>
          <w:tab w:val="num" w:pos="1806"/>
        </w:tabs>
        <w:ind w:left="1806" w:hanging="360"/>
      </w:pPr>
      <w:rPr>
        <w:rFonts w:ascii="Symbol" w:hAnsi="Symbol" w:hint="default"/>
        <w:sz w:val="20"/>
      </w:rPr>
    </w:lvl>
    <w:lvl w:ilvl="4" w:tentative="1">
      <w:start w:val="1"/>
      <w:numFmt w:val="bullet"/>
      <w:lvlText w:val=""/>
      <w:lvlJc w:val="left"/>
      <w:pPr>
        <w:tabs>
          <w:tab w:val="num" w:pos="2526"/>
        </w:tabs>
        <w:ind w:left="2526" w:hanging="360"/>
      </w:pPr>
      <w:rPr>
        <w:rFonts w:ascii="Symbol" w:hAnsi="Symbol" w:hint="default"/>
        <w:sz w:val="20"/>
      </w:rPr>
    </w:lvl>
    <w:lvl w:ilvl="5" w:tentative="1">
      <w:start w:val="1"/>
      <w:numFmt w:val="bullet"/>
      <w:lvlText w:val=""/>
      <w:lvlJc w:val="left"/>
      <w:pPr>
        <w:tabs>
          <w:tab w:val="num" w:pos="3246"/>
        </w:tabs>
        <w:ind w:left="3246" w:hanging="360"/>
      </w:pPr>
      <w:rPr>
        <w:rFonts w:ascii="Symbol" w:hAnsi="Symbol" w:hint="default"/>
        <w:sz w:val="20"/>
      </w:rPr>
    </w:lvl>
    <w:lvl w:ilvl="6" w:tentative="1">
      <w:start w:val="1"/>
      <w:numFmt w:val="bullet"/>
      <w:lvlText w:val=""/>
      <w:lvlJc w:val="left"/>
      <w:pPr>
        <w:tabs>
          <w:tab w:val="num" w:pos="3966"/>
        </w:tabs>
        <w:ind w:left="3966" w:hanging="360"/>
      </w:pPr>
      <w:rPr>
        <w:rFonts w:ascii="Symbol" w:hAnsi="Symbol" w:hint="default"/>
        <w:sz w:val="20"/>
      </w:rPr>
    </w:lvl>
    <w:lvl w:ilvl="7" w:tentative="1">
      <w:start w:val="1"/>
      <w:numFmt w:val="bullet"/>
      <w:lvlText w:val=""/>
      <w:lvlJc w:val="left"/>
      <w:pPr>
        <w:tabs>
          <w:tab w:val="num" w:pos="4686"/>
        </w:tabs>
        <w:ind w:left="4686" w:hanging="360"/>
      </w:pPr>
      <w:rPr>
        <w:rFonts w:ascii="Symbol" w:hAnsi="Symbol" w:hint="default"/>
        <w:sz w:val="20"/>
      </w:rPr>
    </w:lvl>
    <w:lvl w:ilvl="8" w:tentative="1">
      <w:start w:val="1"/>
      <w:numFmt w:val="bullet"/>
      <w:lvlText w:val=""/>
      <w:lvlJc w:val="left"/>
      <w:pPr>
        <w:tabs>
          <w:tab w:val="num" w:pos="5406"/>
        </w:tabs>
        <w:ind w:left="5406" w:hanging="360"/>
      </w:pPr>
      <w:rPr>
        <w:rFonts w:ascii="Symbol" w:hAnsi="Symbol" w:hint="default"/>
        <w:sz w:val="20"/>
      </w:rPr>
    </w:lvl>
  </w:abstractNum>
  <w:abstractNum w:abstractNumId="1" w15:restartNumberingAfterBreak="0">
    <w:nsid w:val="0D5656A4"/>
    <w:multiLevelType w:val="multilevel"/>
    <w:tmpl w:val="1F904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8856F1"/>
    <w:multiLevelType w:val="hybridMultilevel"/>
    <w:tmpl w:val="E9C82B9E"/>
    <w:lvl w:ilvl="0" w:tplc="9A24EFFA">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D36CC2"/>
    <w:multiLevelType w:val="multilevel"/>
    <w:tmpl w:val="27EA8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6E16C9"/>
    <w:multiLevelType w:val="multilevel"/>
    <w:tmpl w:val="93524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90D36E0"/>
    <w:multiLevelType w:val="multilevel"/>
    <w:tmpl w:val="00C27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D1F5C94"/>
    <w:multiLevelType w:val="multilevel"/>
    <w:tmpl w:val="AF80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DAD1CDD"/>
    <w:multiLevelType w:val="multilevel"/>
    <w:tmpl w:val="E60E3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8A590D"/>
    <w:multiLevelType w:val="hybridMultilevel"/>
    <w:tmpl w:val="99DCFD2C"/>
    <w:lvl w:ilvl="0" w:tplc="69CAEF8E">
      <w:numFmt w:val="bullet"/>
      <w:lvlText w:val="-"/>
      <w:lvlJc w:val="left"/>
      <w:pPr>
        <w:ind w:left="720" w:hanging="360"/>
      </w:pPr>
      <w:rPr>
        <w:rFonts w:ascii="Open Sans" w:eastAsiaTheme="minorHAnsi"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94967"/>
    <w:multiLevelType w:val="multilevel"/>
    <w:tmpl w:val="6E68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0E2EBF"/>
    <w:multiLevelType w:val="hybridMultilevel"/>
    <w:tmpl w:val="1122AA58"/>
    <w:lvl w:ilvl="0" w:tplc="7952C08A">
      <w:start w:val="1"/>
      <w:numFmt w:val="upperRoman"/>
      <w:pStyle w:val="Titre2"/>
      <w:lvlText w:val="%1."/>
      <w:lvlJc w:val="righ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04090019" w:tentative="1">
      <w:start w:val="1"/>
      <w:numFmt w:val="lowerLetter"/>
      <w:lvlText w:val="%5."/>
      <w:lvlJc w:val="left"/>
      <w:pPr>
        <w:ind w:left="4314" w:hanging="360"/>
      </w:p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1" w15:restartNumberingAfterBreak="0">
    <w:nsid w:val="238A307F"/>
    <w:multiLevelType w:val="multilevel"/>
    <w:tmpl w:val="446E9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B6D247A"/>
    <w:multiLevelType w:val="multilevel"/>
    <w:tmpl w:val="33329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4A7C39"/>
    <w:multiLevelType w:val="multilevel"/>
    <w:tmpl w:val="E4BC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D029B3"/>
    <w:multiLevelType w:val="multilevel"/>
    <w:tmpl w:val="C5803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992C44"/>
    <w:multiLevelType w:val="multilevel"/>
    <w:tmpl w:val="ACB07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7A73E04"/>
    <w:multiLevelType w:val="multilevel"/>
    <w:tmpl w:val="DA38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C1C3006"/>
    <w:multiLevelType w:val="hybridMultilevel"/>
    <w:tmpl w:val="CF8A9206"/>
    <w:lvl w:ilvl="0" w:tplc="5F967284">
      <w:start w:val="1"/>
      <w:numFmt w:val="bullet"/>
      <w:lvlText w:val=""/>
      <w:lvlPicBulletId w:val="0"/>
      <w:lvlJc w:val="left"/>
      <w:pPr>
        <w:tabs>
          <w:tab w:val="num" w:pos="1070"/>
        </w:tabs>
        <w:ind w:left="1070" w:hanging="360"/>
      </w:pPr>
      <w:rPr>
        <w:rFonts w:ascii="Symbol" w:hAnsi="Symbol" w:hint="default"/>
        <w:sz w:val="28"/>
        <w:szCs w:val="14"/>
      </w:rPr>
    </w:lvl>
    <w:lvl w:ilvl="1" w:tplc="3A343BDA" w:tentative="1">
      <w:start w:val="1"/>
      <w:numFmt w:val="bullet"/>
      <w:lvlText w:val=""/>
      <w:lvlJc w:val="left"/>
      <w:pPr>
        <w:tabs>
          <w:tab w:val="num" w:pos="2150"/>
        </w:tabs>
        <w:ind w:left="2150" w:hanging="360"/>
      </w:pPr>
      <w:rPr>
        <w:rFonts w:ascii="Symbol" w:hAnsi="Symbol" w:hint="default"/>
      </w:rPr>
    </w:lvl>
    <w:lvl w:ilvl="2" w:tplc="72A0CAF2" w:tentative="1">
      <w:start w:val="1"/>
      <w:numFmt w:val="bullet"/>
      <w:lvlText w:val=""/>
      <w:lvlJc w:val="left"/>
      <w:pPr>
        <w:tabs>
          <w:tab w:val="num" w:pos="2870"/>
        </w:tabs>
        <w:ind w:left="2870" w:hanging="360"/>
      </w:pPr>
      <w:rPr>
        <w:rFonts w:ascii="Symbol" w:hAnsi="Symbol" w:hint="default"/>
      </w:rPr>
    </w:lvl>
    <w:lvl w:ilvl="3" w:tplc="1EA4C740" w:tentative="1">
      <w:start w:val="1"/>
      <w:numFmt w:val="bullet"/>
      <w:lvlText w:val=""/>
      <w:lvlJc w:val="left"/>
      <w:pPr>
        <w:tabs>
          <w:tab w:val="num" w:pos="3590"/>
        </w:tabs>
        <w:ind w:left="3590" w:hanging="360"/>
      </w:pPr>
      <w:rPr>
        <w:rFonts w:ascii="Symbol" w:hAnsi="Symbol" w:hint="default"/>
      </w:rPr>
    </w:lvl>
    <w:lvl w:ilvl="4" w:tplc="5EE4CFAA" w:tentative="1">
      <w:start w:val="1"/>
      <w:numFmt w:val="bullet"/>
      <w:lvlText w:val=""/>
      <w:lvlJc w:val="left"/>
      <w:pPr>
        <w:tabs>
          <w:tab w:val="num" w:pos="4310"/>
        </w:tabs>
        <w:ind w:left="4310" w:hanging="360"/>
      </w:pPr>
      <w:rPr>
        <w:rFonts w:ascii="Symbol" w:hAnsi="Symbol" w:hint="default"/>
      </w:rPr>
    </w:lvl>
    <w:lvl w:ilvl="5" w:tplc="234C5BFA" w:tentative="1">
      <w:start w:val="1"/>
      <w:numFmt w:val="bullet"/>
      <w:lvlText w:val=""/>
      <w:lvlJc w:val="left"/>
      <w:pPr>
        <w:tabs>
          <w:tab w:val="num" w:pos="5030"/>
        </w:tabs>
        <w:ind w:left="5030" w:hanging="360"/>
      </w:pPr>
      <w:rPr>
        <w:rFonts w:ascii="Symbol" w:hAnsi="Symbol" w:hint="default"/>
      </w:rPr>
    </w:lvl>
    <w:lvl w:ilvl="6" w:tplc="06B833EE" w:tentative="1">
      <w:start w:val="1"/>
      <w:numFmt w:val="bullet"/>
      <w:lvlText w:val=""/>
      <w:lvlJc w:val="left"/>
      <w:pPr>
        <w:tabs>
          <w:tab w:val="num" w:pos="5750"/>
        </w:tabs>
        <w:ind w:left="5750" w:hanging="360"/>
      </w:pPr>
      <w:rPr>
        <w:rFonts w:ascii="Symbol" w:hAnsi="Symbol" w:hint="default"/>
      </w:rPr>
    </w:lvl>
    <w:lvl w:ilvl="7" w:tplc="AF6C61F6" w:tentative="1">
      <w:start w:val="1"/>
      <w:numFmt w:val="bullet"/>
      <w:lvlText w:val=""/>
      <w:lvlJc w:val="left"/>
      <w:pPr>
        <w:tabs>
          <w:tab w:val="num" w:pos="6470"/>
        </w:tabs>
        <w:ind w:left="6470" w:hanging="360"/>
      </w:pPr>
      <w:rPr>
        <w:rFonts w:ascii="Symbol" w:hAnsi="Symbol" w:hint="default"/>
      </w:rPr>
    </w:lvl>
    <w:lvl w:ilvl="8" w:tplc="82DA7CEE" w:tentative="1">
      <w:start w:val="1"/>
      <w:numFmt w:val="bullet"/>
      <w:lvlText w:val=""/>
      <w:lvlJc w:val="left"/>
      <w:pPr>
        <w:tabs>
          <w:tab w:val="num" w:pos="7190"/>
        </w:tabs>
        <w:ind w:left="7190" w:hanging="360"/>
      </w:pPr>
      <w:rPr>
        <w:rFonts w:ascii="Symbol" w:hAnsi="Symbol" w:hint="default"/>
      </w:rPr>
    </w:lvl>
  </w:abstractNum>
  <w:abstractNum w:abstractNumId="18" w15:restartNumberingAfterBreak="0">
    <w:nsid w:val="3CAA13BE"/>
    <w:multiLevelType w:val="multilevel"/>
    <w:tmpl w:val="16FE7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D524569"/>
    <w:multiLevelType w:val="multilevel"/>
    <w:tmpl w:val="FABCB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7B24B8"/>
    <w:multiLevelType w:val="hybridMultilevel"/>
    <w:tmpl w:val="E0CA2748"/>
    <w:lvl w:ilvl="0" w:tplc="3D6A9870">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1" w15:restartNumberingAfterBreak="0">
    <w:nsid w:val="44314407"/>
    <w:multiLevelType w:val="multilevel"/>
    <w:tmpl w:val="B19C3C8E"/>
    <w:lvl w:ilvl="0">
      <w:start w:val="1"/>
      <w:numFmt w:val="upperRoman"/>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451F7D3E"/>
    <w:multiLevelType w:val="multilevel"/>
    <w:tmpl w:val="2E78F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8825A7C"/>
    <w:multiLevelType w:val="hybridMultilevel"/>
    <w:tmpl w:val="34B0C09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AF1FF1"/>
    <w:multiLevelType w:val="multilevel"/>
    <w:tmpl w:val="3FE80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27772A8"/>
    <w:multiLevelType w:val="multilevel"/>
    <w:tmpl w:val="C156AF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53053AE"/>
    <w:multiLevelType w:val="multilevel"/>
    <w:tmpl w:val="1F06B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53E752F"/>
    <w:multiLevelType w:val="multilevel"/>
    <w:tmpl w:val="BACE0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6747019"/>
    <w:multiLevelType w:val="hybridMultilevel"/>
    <w:tmpl w:val="8CE84146"/>
    <w:lvl w:ilvl="0" w:tplc="94B8DA80">
      <w:start w:val="1"/>
      <w:numFmt w:val="bullet"/>
      <w:lvlText w:val=""/>
      <w:lvlPicBulletId w:val="0"/>
      <w:lvlJc w:val="left"/>
      <w:pPr>
        <w:tabs>
          <w:tab w:val="num" w:pos="720"/>
        </w:tabs>
        <w:ind w:left="720" w:hanging="360"/>
      </w:pPr>
      <w:rPr>
        <w:rFonts w:ascii="Symbol" w:hAnsi="Symbol" w:hint="default"/>
      </w:rPr>
    </w:lvl>
    <w:lvl w:ilvl="1" w:tplc="E3C6D93C" w:tentative="1">
      <w:start w:val="1"/>
      <w:numFmt w:val="bullet"/>
      <w:lvlText w:val=""/>
      <w:lvlJc w:val="left"/>
      <w:pPr>
        <w:tabs>
          <w:tab w:val="num" w:pos="1440"/>
        </w:tabs>
        <w:ind w:left="1440" w:hanging="360"/>
      </w:pPr>
      <w:rPr>
        <w:rFonts w:ascii="Symbol" w:hAnsi="Symbol" w:hint="default"/>
      </w:rPr>
    </w:lvl>
    <w:lvl w:ilvl="2" w:tplc="8D02E6A4" w:tentative="1">
      <w:start w:val="1"/>
      <w:numFmt w:val="bullet"/>
      <w:lvlText w:val=""/>
      <w:lvlJc w:val="left"/>
      <w:pPr>
        <w:tabs>
          <w:tab w:val="num" w:pos="2160"/>
        </w:tabs>
        <w:ind w:left="2160" w:hanging="360"/>
      </w:pPr>
      <w:rPr>
        <w:rFonts w:ascii="Symbol" w:hAnsi="Symbol" w:hint="default"/>
      </w:rPr>
    </w:lvl>
    <w:lvl w:ilvl="3" w:tplc="A9B4D2E2" w:tentative="1">
      <w:start w:val="1"/>
      <w:numFmt w:val="bullet"/>
      <w:lvlText w:val=""/>
      <w:lvlJc w:val="left"/>
      <w:pPr>
        <w:tabs>
          <w:tab w:val="num" w:pos="2880"/>
        </w:tabs>
        <w:ind w:left="2880" w:hanging="360"/>
      </w:pPr>
      <w:rPr>
        <w:rFonts w:ascii="Symbol" w:hAnsi="Symbol" w:hint="default"/>
      </w:rPr>
    </w:lvl>
    <w:lvl w:ilvl="4" w:tplc="B35C4B76" w:tentative="1">
      <w:start w:val="1"/>
      <w:numFmt w:val="bullet"/>
      <w:lvlText w:val=""/>
      <w:lvlJc w:val="left"/>
      <w:pPr>
        <w:tabs>
          <w:tab w:val="num" w:pos="3600"/>
        </w:tabs>
        <w:ind w:left="3600" w:hanging="360"/>
      </w:pPr>
      <w:rPr>
        <w:rFonts w:ascii="Symbol" w:hAnsi="Symbol" w:hint="default"/>
      </w:rPr>
    </w:lvl>
    <w:lvl w:ilvl="5" w:tplc="3DE85128" w:tentative="1">
      <w:start w:val="1"/>
      <w:numFmt w:val="bullet"/>
      <w:lvlText w:val=""/>
      <w:lvlJc w:val="left"/>
      <w:pPr>
        <w:tabs>
          <w:tab w:val="num" w:pos="4320"/>
        </w:tabs>
        <w:ind w:left="4320" w:hanging="360"/>
      </w:pPr>
      <w:rPr>
        <w:rFonts w:ascii="Symbol" w:hAnsi="Symbol" w:hint="default"/>
      </w:rPr>
    </w:lvl>
    <w:lvl w:ilvl="6" w:tplc="D3C6F2C2" w:tentative="1">
      <w:start w:val="1"/>
      <w:numFmt w:val="bullet"/>
      <w:lvlText w:val=""/>
      <w:lvlJc w:val="left"/>
      <w:pPr>
        <w:tabs>
          <w:tab w:val="num" w:pos="5040"/>
        </w:tabs>
        <w:ind w:left="5040" w:hanging="360"/>
      </w:pPr>
      <w:rPr>
        <w:rFonts w:ascii="Symbol" w:hAnsi="Symbol" w:hint="default"/>
      </w:rPr>
    </w:lvl>
    <w:lvl w:ilvl="7" w:tplc="C5FABCAE" w:tentative="1">
      <w:start w:val="1"/>
      <w:numFmt w:val="bullet"/>
      <w:lvlText w:val=""/>
      <w:lvlJc w:val="left"/>
      <w:pPr>
        <w:tabs>
          <w:tab w:val="num" w:pos="5760"/>
        </w:tabs>
        <w:ind w:left="5760" w:hanging="360"/>
      </w:pPr>
      <w:rPr>
        <w:rFonts w:ascii="Symbol" w:hAnsi="Symbol" w:hint="default"/>
      </w:rPr>
    </w:lvl>
    <w:lvl w:ilvl="8" w:tplc="F7B68D8A"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6EF4CC2"/>
    <w:multiLevelType w:val="multilevel"/>
    <w:tmpl w:val="058C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AE26253"/>
    <w:multiLevelType w:val="multilevel"/>
    <w:tmpl w:val="BB308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087D46"/>
    <w:multiLevelType w:val="multilevel"/>
    <w:tmpl w:val="821E5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0264B22"/>
    <w:multiLevelType w:val="multilevel"/>
    <w:tmpl w:val="4AAC1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4E45794"/>
    <w:multiLevelType w:val="multilevel"/>
    <w:tmpl w:val="30F47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5761ECA"/>
    <w:multiLevelType w:val="multilevel"/>
    <w:tmpl w:val="B7745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92F0CCB"/>
    <w:multiLevelType w:val="multilevel"/>
    <w:tmpl w:val="D9427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965EEE"/>
    <w:multiLevelType w:val="multilevel"/>
    <w:tmpl w:val="36444D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A476F49"/>
    <w:multiLevelType w:val="multilevel"/>
    <w:tmpl w:val="41BAD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D2572CD"/>
    <w:multiLevelType w:val="hybridMultilevel"/>
    <w:tmpl w:val="B56807A6"/>
    <w:lvl w:ilvl="0" w:tplc="131EA4E6">
      <w:start w:val="7"/>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FF37F24"/>
    <w:multiLevelType w:val="multilevel"/>
    <w:tmpl w:val="A1AA7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5214F9A"/>
    <w:multiLevelType w:val="multilevel"/>
    <w:tmpl w:val="0308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EF131ED"/>
    <w:multiLevelType w:val="multilevel"/>
    <w:tmpl w:val="2F262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FC679E"/>
    <w:multiLevelType w:val="multilevel"/>
    <w:tmpl w:val="B752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4E2225"/>
    <w:multiLevelType w:val="multilevel"/>
    <w:tmpl w:val="43B87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21"/>
  </w:num>
  <w:num w:numId="2" w16cid:durableId="1427118286">
    <w:abstractNumId w:val="20"/>
  </w:num>
  <w:num w:numId="3" w16cid:durableId="540099116">
    <w:abstractNumId w:val="22"/>
  </w:num>
  <w:num w:numId="4" w16cid:durableId="1105880406">
    <w:abstractNumId w:val="1"/>
  </w:num>
  <w:num w:numId="5" w16cid:durableId="318189493">
    <w:abstractNumId w:val="32"/>
  </w:num>
  <w:num w:numId="6" w16cid:durableId="134685155">
    <w:abstractNumId w:val="39"/>
  </w:num>
  <w:num w:numId="7" w16cid:durableId="1173764370">
    <w:abstractNumId w:val="14"/>
  </w:num>
  <w:num w:numId="8" w16cid:durableId="2112124684">
    <w:abstractNumId w:val="6"/>
  </w:num>
  <w:num w:numId="9" w16cid:durableId="132141436">
    <w:abstractNumId w:val="33"/>
  </w:num>
  <w:num w:numId="10" w16cid:durableId="591814123">
    <w:abstractNumId w:val="18"/>
  </w:num>
  <w:num w:numId="11" w16cid:durableId="1379161554">
    <w:abstractNumId w:val="9"/>
  </w:num>
  <w:num w:numId="12" w16cid:durableId="1035425346">
    <w:abstractNumId w:val="13"/>
  </w:num>
  <w:num w:numId="13" w16cid:durableId="1724986892">
    <w:abstractNumId w:val="29"/>
  </w:num>
  <w:num w:numId="14" w16cid:durableId="2065177106">
    <w:abstractNumId w:val="16"/>
  </w:num>
  <w:num w:numId="15" w16cid:durableId="400179519">
    <w:abstractNumId w:val="24"/>
  </w:num>
  <w:num w:numId="16" w16cid:durableId="1555963540">
    <w:abstractNumId w:val="30"/>
  </w:num>
  <w:num w:numId="17" w16cid:durableId="1404445559">
    <w:abstractNumId w:val="5"/>
  </w:num>
  <w:num w:numId="18" w16cid:durableId="270481384">
    <w:abstractNumId w:val="34"/>
  </w:num>
  <w:num w:numId="19" w16cid:durableId="1858275718">
    <w:abstractNumId w:val="2"/>
  </w:num>
  <w:num w:numId="20" w16cid:durableId="1136491612">
    <w:abstractNumId w:val="28"/>
  </w:num>
  <w:num w:numId="21" w16cid:durableId="699361680">
    <w:abstractNumId w:val="2"/>
    <w:lvlOverride w:ilvl="0">
      <w:startOverride w:val="1"/>
    </w:lvlOverride>
  </w:num>
  <w:num w:numId="22" w16cid:durableId="1784957098">
    <w:abstractNumId w:val="7"/>
  </w:num>
  <w:num w:numId="23" w16cid:durableId="669213673">
    <w:abstractNumId w:val="27"/>
  </w:num>
  <w:num w:numId="24" w16cid:durableId="1796214940">
    <w:abstractNumId w:val="11"/>
  </w:num>
  <w:num w:numId="25" w16cid:durableId="959066705">
    <w:abstractNumId w:val="36"/>
  </w:num>
  <w:num w:numId="26" w16cid:durableId="956449555">
    <w:abstractNumId w:val="0"/>
  </w:num>
  <w:num w:numId="27" w16cid:durableId="1872037014">
    <w:abstractNumId w:val="43"/>
  </w:num>
  <w:num w:numId="28" w16cid:durableId="1871187156">
    <w:abstractNumId w:val="12"/>
  </w:num>
  <w:num w:numId="29" w16cid:durableId="1978023238">
    <w:abstractNumId w:val="26"/>
  </w:num>
  <w:num w:numId="30" w16cid:durableId="55595381">
    <w:abstractNumId w:val="37"/>
  </w:num>
  <w:num w:numId="31" w16cid:durableId="1582911268">
    <w:abstractNumId w:val="42"/>
  </w:num>
  <w:num w:numId="32" w16cid:durableId="1147090017">
    <w:abstractNumId w:val="31"/>
  </w:num>
  <w:num w:numId="33" w16cid:durableId="1800756863">
    <w:abstractNumId w:val="15"/>
  </w:num>
  <w:num w:numId="34" w16cid:durableId="2023313143">
    <w:abstractNumId w:val="41"/>
  </w:num>
  <w:num w:numId="35" w16cid:durableId="1552578084">
    <w:abstractNumId w:val="3"/>
  </w:num>
  <w:num w:numId="36" w16cid:durableId="1111046830">
    <w:abstractNumId w:val="4"/>
  </w:num>
  <w:num w:numId="37" w16cid:durableId="358629226">
    <w:abstractNumId w:val="35"/>
  </w:num>
  <w:num w:numId="38" w16cid:durableId="562958211">
    <w:abstractNumId w:val="40"/>
  </w:num>
  <w:num w:numId="39" w16cid:durableId="397436246">
    <w:abstractNumId w:val="19"/>
  </w:num>
  <w:num w:numId="40" w16cid:durableId="1499810588">
    <w:abstractNumId w:val="25"/>
  </w:num>
  <w:num w:numId="41" w16cid:durableId="1711104850">
    <w:abstractNumId w:val="2"/>
    <w:lvlOverride w:ilvl="0">
      <w:startOverride w:val="1"/>
    </w:lvlOverride>
  </w:num>
  <w:num w:numId="42" w16cid:durableId="503327705">
    <w:abstractNumId w:val="2"/>
    <w:lvlOverride w:ilvl="0">
      <w:startOverride w:val="1"/>
    </w:lvlOverride>
  </w:num>
  <w:num w:numId="43" w16cid:durableId="1525054388">
    <w:abstractNumId w:val="2"/>
    <w:lvlOverride w:ilvl="0">
      <w:startOverride w:val="1"/>
    </w:lvlOverride>
  </w:num>
  <w:num w:numId="44" w16cid:durableId="704252660">
    <w:abstractNumId w:val="17"/>
  </w:num>
  <w:num w:numId="45" w16cid:durableId="1372878614">
    <w:abstractNumId w:val="2"/>
    <w:lvlOverride w:ilvl="0">
      <w:startOverride w:val="1"/>
    </w:lvlOverride>
  </w:num>
  <w:num w:numId="46" w16cid:durableId="1388724660">
    <w:abstractNumId w:val="23"/>
  </w:num>
  <w:num w:numId="47" w16cid:durableId="866255646">
    <w:abstractNumId w:val="8"/>
  </w:num>
  <w:num w:numId="48" w16cid:durableId="1512067551">
    <w:abstractNumId w:val="10"/>
  </w:num>
  <w:num w:numId="49" w16cid:durableId="208960313">
    <w:abstractNumId w:val="3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26648"/>
    <w:rsid w:val="0005053A"/>
    <w:rsid w:val="000526EE"/>
    <w:rsid w:val="00054284"/>
    <w:rsid w:val="00074CCE"/>
    <w:rsid w:val="00075E24"/>
    <w:rsid w:val="0009173E"/>
    <w:rsid w:val="000917C5"/>
    <w:rsid w:val="000A2B6B"/>
    <w:rsid w:val="000A4A6E"/>
    <w:rsid w:val="000C2B3F"/>
    <w:rsid w:val="000E2235"/>
    <w:rsid w:val="000E3EAE"/>
    <w:rsid w:val="00112E94"/>
    <w:rsid w:val="0012306E"/>
    <w:rsid w:val="00126F72"/>
    <w:rsid w:val="00134E09"/>
    <w:rsid w:val="00144109"/>
    <w:rsid w:val="00144E78"/>
    <w:rsid w:val="001525E5"/>
    <w:rsid w:val="001527FE"/>
    <w:rsid w:val="001565E5"/>
    <w:rsid w:val="00160431"/>
    <w:rsid w:val="00162B58"/>
    <w:rsid w:val="00163DA0"/>
    <w:rsid w:val="0019252E"/>
    <w:rsid w:val="00194A23"/>
    <w:rsid w:val="001A0554"/>
    <w:rsid w:val="001A3099"/>
    <w:rsid w:val="001A5D9E"/>
    <w:rsid w:val="001D23C3"/>
    <w:rsid w:val="001E58CB"/>
    <w:rsid w:val="002020F9"/>
    <w:rsid w:val="00224B3B"/>
    <w:rsid w:val="00256785"/>
    <w:rsid w:val="00265301"/>
    <w:rsid w:val="002738E7"/>
    <w:rsid w:val="002746FE"/>
    <w:rsid w:val="00277500"/>
    <w:rsid w:val="00281A8D"/>
    <w:rsid w:val="002863E1"/>
    <w:rsid w:val="002A2477"/>
    <w:rsid w:val="002E7C98"/>
    <w:rsid w:val="002F0320"/>
    <w:rsid w:val="00302747"/>
    <w:rsid w:val="0030508E"/>
    <w:rsid w:val="00305315"/>
    <w:rsid w:val="00326184"/>
    <w:rsid w:val="003502A7"/>
    <w:rsid w:val="00351A7C"/>
    <w:rsid w:val="00364422"/>
    <w:rsid w:val="0036727B"/>
    <w:rsid w:val="00370875"/>
    <w:rsid w:val="00372CDC"/>
    <w:rsid w:val="003927F3"/>
    <w:rsid w:val="0039799E"/>
    <w:rsid w:val="003A1BDD"/>
    <w:rsid w:val="003A226F"/>
    <w:rsid w:val="003C735E"/>
    <w:rsid w:val="003E5B9F"/>
    <w:rsid w:val="00401B33"/>
    <w:rsid w:val="00421434"/>
    <w:rsid w:val="00426F09"/>
    <w:rsid w:val="004509EF"/>
    <w:rsid w:val="00453C6C"/>
    <w:rsid w:val="00456244"/>
    <w:rsid w:val="00467CF8"/>
    <w:rsid w:val="004853AF"/>
    <w:rsid w:val="004C5E68"/>
    <w:rsid w:val="004E2B3F"/>
    <w:rsid w:val="004F7075"/>
    <w:rsid w:val="00511AC7"/>
    <w:rsid w:val="00526763"/>
    <w:rsid w:val="00537457"/>
    <w:rsid w:val="00540987"/>
    <w:rsid w:val="00543CD6"/>
    <w:rsid w:val="00545412"/>
    <w:rsid w:val="005615C2"/>
    <w:rsid w:val="00563C2E"/>
    <w:rsid w:val="005643C5"/>
    <w:rsid w:val="00566450"/>
    <w:rsid w:val="00566BDA"/>
    <w:rsid w:val="005931C5"/>
    <w:rsid w:val="00593DBA"/>
    <w:rsid w:val="005941FD"/>
    <w:rsid w:val="005A02BA"/>
    <w:rsid w:val="005C02E6"/>
    <w:rsid w:val="005D2943"/>
    <w:rsid w:val="005D7C97"/>
    <w:rsid w:val="005F0983"/>
    <w:rsid w:val="005F5410"/>
    <w:rsid w:val="0062170A"/>
    <w:rsid w:val="00622E77"/>
    <w:rsid w:val="00624CAE"/>
    <w:rsid w:val="0062781F"/>
    <w:rsid w:val="006279BE"/>
    <w:rsid w:val="00634276"/>
    <w:rsid w:val="006455A8"/>
    <w:rsid w:val="00653A9E"/>
    <w:rsid w:val="006631AF"/>
    <w:rsid w:val="0066465F"/>
    <w:rsid w:val="00671DBC"/>
    <w:rsid w:val="00675238"/>
    <w:rsid w:val="00677448"/>
    <w:rsid w:val="00691292"/>
    <w:rsid w:val="006963F6"/>
    <w:rsid w:val="006A2C8D"/>
    <w:rsid w:val="006B490C"/>
    <w:rsid w:val="006C4D3A"/>
    <w:rsid w:val="006D67CF"/>
    <w:rsid w:val="006E2203"/>
    <w:rsid w:val="007010A1"/>
    <w:rsid w:val="00703B02"/>
    <w:rsid w:val="0070600E"/>
    <w:rsid w:val="00731D0A"/>
    <w:rsid w:val="00736C49"/>
    <w:rsid w:val="00772C04"/>
    <w:rsid w:val="00775A11"/>
    <w:rsid w:val="00775AF5"/>
    <w:rsid w:val="00780465"/>
    <w:rsid w:val="0078693F"/>
    <w:rsid w:val="00796109"/>
    <w:rsid w:val="00797959"/>
    <w:rsid w:val="007A379E"/>
    <w:rsid w:val="007D5C9A"/>
    <w:rsid w:val="007E113B"/>
    <w:rsid w:val="007E1EAB"/>
    <w:rsid w:val="00802AAF"/>
    <w:rsid w:val="0081277B"/>
    <w:rsid w:val="008135F4"/>
    <w:rsid w:val="008143CA"/>
    <w:rsid w:val="00814D9E"/>
    <w:rsid w:val="0082423A"/>
    <w:rsid w:val="00825DDE"/>
    <w:rsid w:val="008306F1"/>
    <w:rsid w:val="00834AAF"/>
    <w:rsid w:val="008365FE"/>
    <w:rsid w:val="00845966"/>
    <w:rsid w:val="00894579"/>
    <w:rsid w:val="008A3349"/>
    <w:rsid w:val="008B1659"/>
    <w:rsid w:val="008D272E"/>
    <w:rsid w:val="008F0F61"/>
    <w:rsid w:val="008F2039"/>
    <w:rsid w:val="00913774"/>
    <w:rsid w:val="009418AD"/>
    <w:rsid w:val="00944132"/>
    <w:rsid w:val="009643C6"/>
    <w:rsid w:val="00983F66"/>
    <w:rsid w:val="00991323"/>
    <w:rsid w:val="00993C6A"/>
    <w:rsid w:val="009944D9"/>
    <w:rsid w:val="009A18C3"/>
    <w:rsid w:val="009B0F5C"/>
    <w:rsid w:val="009B121A"/>
    <w:rsid w:val="009B63BE"/>
    <w:rsid w:val="009F7286"/>
    <w:rsid w:val="00A02DA0"/>
    <w:rsid w:val="00A04A46"/>
    <w:rsid w:val="00A07CAA"/>
    <w:rsid w:val="00A13493"/>
    <w:rsid w:val="00A3059A"/>
    <w:rsid w:val="00A32EBA"/>
    <w:rsid w:val="00A36430"/>
    <w:rsid w:val="00A37185"/>
    <w:rsid w:val="00A444C9"/>
    <w:rsid w:val="00A52495"/>
    <w:rsid w:val="00A542CE"/>
    <w:rsid w:val="00A55682"/>
    <w:rsid w:val="00A70209"/>
    <w:rsid w:val="00A77DB6"/>
    <w:rsid w:val="00A87FD6"/>
    <w:rsid w:val="00A958EA"/>
    <w:rsid w:val="00AA7EB5"/>
    <w:rsid w:val="00AB5284"/>
    <w:rsid w:val="00AC4FFD"/>
    <w:rsid w:val="00AE46D5"/>
    <w:rsid w:val="00AE4778"/>
    <w:rsid w:val="00AE7049"/>
    <w:rsid w:val="00B10D7C"/>
    <w:rsid w:val="00B10DE0"/>
    <w:rsid w:val="00B136CC"/>
    <w:rsid w:val="00B2240A"/>
    <w:rsid w:val="00B25AB9"/>
    <w:rsid w:val="00B307B6"/>
    <w:rsid w:val="00B34910"/>
    <w:rsid w:val="00B41186"/>
    <w:rsid w:val="00B42117"/>
    <w:rsid w:val="00B5286C"/>
    <w:rsid w:val="00B630C8"/>
    <w:rsid w:val="00B637AF"/>
    <w:rsid w:val="00B75225"/>
    <w:rsid w:val="00B75534"/>
    <w:rsid w:val="00B75B22"/>
    <w:rsid w:val="00BA5C64"/>
    <w:rsid w:val="00BC4207"/>
    <w:rsid w:val="00BD6E5A"/>
    <w:rsid w:val="00BE1833"/>
    <w:rsid w:val="00BF090C"/>
    <w:rsid w:val="00BF4DAF"/>
    <w:rsid w:val="00BF7C89"/>
    <w:rsid w:val="00C44C02"/>
    <w:rsid w:val="00C4547F"/>
    <w:rsid w:val="00C47519"/>
    <w:rsid w:val="00C507C9"/>
    <w:rsid w:val="00C700D3"/>
    <w:rsid w:val="00C749EC"/>
    <w:rsid w:val="00C751CA"/>
    <w:rsid w:val="00C8337E"/>
    <w:rsid w:val="00C83889"/>
    <w:rsid w:val="00C86C18"/>
    <w:rsid w:val="00CC246D"/>
    <w:rsid w:val="00CC2650"/>
    <w:rsid w:val="00CC447B"/>
    <w:rsid w:val="00CC5221"/>
    <w:rsid w:val="00CC7907"/>
    <w:rsid w:val="00CD1F2F"/>
    <w:rsid w:val="00CF0401"/>
    <w:rsid w:val="00CF29BA"/>
    <w:rsid w:val="00D07E72"/>
    <w:rsid w:val="00D201CC"/>
    <w:rsid w:val="00D30875"/>
    <w:rsid w:val="00D41D5B"/>
    <w:rsid w:val="00D44A89"/>
    <w:rsid w:val="00D5574B"/>
    <w:rsid w:val="00D56456"/>
    <w:rsid w:val="00D67D37"/>
    <w:rsid w:val="00D7312E"/>
    <w:rsid w:val="00D81A8F"/>
    <w:rsid w:val="00D82D2D"/>
    <w:rsid w:val="00D90CCD"/>
    <w:rsid w:val="00DA1D54"/>
    <w:rsid w:val="00DA607C"/>
    <w:rsid w:val="00DE3098"/>
    <w:rsid w:val="00E16258"/>
    <w:rsid w:val="00E4403A"/>
    <w:rsid w:val="00E44894"/>
    <w:rsid w:val="00E57CBB"/>
    <w:rsid w:val="00E57EEF"/>
    <w:rsid w:val="00E67FB6"/>
    <w:rsid w:val="00E72513"/>
    <w:rsid w:val="00E96BE2"/>
    <w:rsid w:val="00EB02FF"/>
    <w:rsid w:val="00EB201B"/>
    <w:rsid w:val="00EB65F9"/>
    <w:rsid w:val="00EC652C"/>
    <w:rsid w:val="00ED4021"/>
    <w:rsid w:val="00EE3EE6"/>
    <w:rsid w:val="00EE7F17"/>
    <w:rsid w:val="00EF0FB5"/>
    <w:rsid w:val="00EF2D3B"/>
    <w:rsid w:val="00F04DCF"/>
    <w:rsid w:val="00F06130"/>
    <w:rsid w:val="00F15E4D"/>
    <w:rsid w:val="00F22A0B"/>
    <w:rsid w:val="00F3468B"/>
    <w:rsid w:val="00F37EA7"/>
    <w:rsid w:val="00F4416C"/>
    <w:rsid w:val="00F76D33"/>
    <w:rsid w:val="00F85596"/>
    <w:rsid w:val="00FC4C6A"/>
    <w:rsid w:val="00FD499F"/>
    <w:rsid w:val="00FD73FA"/>
    <w:rsid w:val="00FF2844"/>
    <w:rsid w:val="00FF2AA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F06130"/>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4509EF"/>
    <w:pPr>
      <w:keepNext/>
      <w:keepLines/>
      <w:spacing w:after="0" w:line="900" w:lineRule="atLeast"/>
      <w:jc w:val="left"/>
      <w:textAlignment w:val="baseline"/>
      <w:outlineLvl w:val="0"/>
    </w:pPr>
    <w:rPr>
      <w:rFonts w:eastAsiaTheme="majorEastAsia" w:cstheme="majorBidi"/>
      <w:b/>
      <w:color w:val="FFFFFF" w:themeColor="background1"/>
      <w:sz w:val="60"/>
      <w:szCs w:val="32"/>
    </w:rPr>
  </w:style>
  <w:style w:type="paragraph" w:styleId="Titre2">
    <w:name w:val="heading 2"/>
    <w:aliases w:val="Titre 2 CGPC"/>
    <w:basedOn w:val="CGPC-elearning"/>
    <w:next w:val="Normal"/>
    <w:link w:val="Titre2Car"/>
    <w:autoRedefine/>
    <w:uiPriority w:val="9"/>
    <w:unhideWhenUsed/>
    <w:qFormat/>
    <w:rsid w:val="001A0554"/>
    <w:pPr>
      <w:keepNext/>
      <w:keepLines/>
      <w:numPr>
        <w:numId w:val="48"/>
      </w:numPr>
      <w:spacing w:after="0" w:line="600" w:lineRule="atLeast"/>
      <w:contextualSpacing/>
      <w:textAlignment w:val="baseline"/>
      <w:outlineLvl w:val="1"/>
    </w:pPr>
    <w:rPr>
      <w:rFonts w:eastAsiaTheme="majorEastAsia"/>
      <w:b/>
      <w:color w:val="E7E6E6" w:themeColor="background2"/>
      <w:sz w:val="56"/>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39799E"/>
    <w:pPr>
      <w:keepNext/>
      <w:keepLines/>
      <w:numPr>
        <w:numId w:val="19"/>
      </w:numPr>
      <w:shd w:val="clear" w:color="auto" w:fill="FFFFFF"/>
      <w:spacing w:after="0" w:line="675" w:lineRule="atLeast"/>
      <w:textAlignment w:val="baseline"/>
      <w:outlineLvl w:val="2"/>
    </w:pPr>
    <w:rPr>
      <w:rFonts w:eastAsia="Times New Roman"/>
      <w:b/>
      <w:color w:val="3A5D9C"/>
      <w:sz w:val="44"/>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991323"/>
    <w:pPr>
      <w:keepNext/>
      <w:keepLines/>
      <w:numPr>
        <w:numId w:val="2"/>
      </w:numPr>
      <w:spacing w:before="280" w:after="240"/>
      <w:outlineLvl w:val="3"/>
    </w:pPr>
    <w:rPr>
      <w:rFonts w:eastAsiaTheme="majorEastAsia" w:cstheme="majorBidi"/>
      <w:b/>
      <w:iCs/>
      <w:color w:val="2F5496" w:themeColor="accent1" w:themeShade="BF"/>
      <w:sz w:val="36"/>
      <w:szCs w:val="21"/>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spacing w:before="400" w:after="360"/>
      <w:ind w:left="108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1A0554"/>
    <w:rPr>
      <w:rFonts w:ascii="Open Sans" w:eastAsiaTheme="majorEastAsia" w:hAnsi="Open Sans" w:cs="Open Sans"/>
      <w:b/>
      <w:bCs/>
      <w:color w:val="E7E6E6" w:themeColor="background2"/>
      <w:sz w:val="56"/>
      <w:szCs w:val="26"/>
      <w:bdr w:val="none" w:sz="0" w:space="0" w:color="auto" w:frame="1"/>
    </w:rPr>
  </w:style>
  <w:style w:type="character" w:customStyle="1" w:styleId="Titre1Car">
    <w:name w:val="Titre 1 Car"/>
    <w:basedOn w:val="Policepardfaut"/>
    <w:link w:val="Titre1"/>
    <w:uiPriority w:val="9"/>
    <w:rsid w:val="004509EF"/>
    <w:rPr>
      <w:rFonts w:ascii="Open Sans" w:eastAsiaTheme="majorEastAsia" w:hAnsi="Open Sans" w:cstheme="majorBidi"/>
      <w:b/>
      <w:color w:val="FFFFFF" w:themeColor="background1"/>
      <w:kern w:val="0"/>
      <w:sz w:val="60"/>
      <w:szCs w:val="32"/>
      <w14:ligatures w14:val="none"/>
    </w:rPr>
  </w:style>
  <w:style w:type="paragraph" w:customStyle="1" w:styleId="CGPC-elearning">
    <w:name w:val="CGPC-elearning"/>
    <w:basedOn w:val="Normal"/>
    <w:link w:val="CGPC-elearningCar"/>
    <w:autoRedefine/>
    <w:qFormat/>
    <w:rsid w:val="009B63BE"/>
    <w:pPr>
      <w:ind w:left="709"/>
    </w:pPr>
    <w:rPr>
      <w:rFonts w:cs="Open Sans"/>
      <w:bCs/>
      <w:kern w:val="2"/>
      <w:szCs w:val="28"/>
      <w14:ligatures w14:val="standardContextual"/>
    </w:rPr>
  </w:style>
  <w:style w:type="character" w:customStyle="1" w:styleId="CGPC-elearningCar">
    <w:name w:val="CGPC-elearning Car"/>
    <w:basedOn w:val="Policepardfaut"/>
    <w:link w:val="CGPC-elearning"/>
    <w:rsid w:val="009B63BE"/>
    <w:rPr>
      <w:rFonts w:ascii="Open Sans" w:hAnsi="Open Sans" w:cs="Open Sans"/>
      <w:bCs/>
      <w:sz w:val="32"/>
      <w:szCs w:val="28"/>
    </w:rPr>
  </w:style>
  <w:style w:type="character" w:customStyle="1" w:styleId="Titre3Car">
    <w:name w:val="Titre 3 Car"/>
    <w:aliases w:val="Titre 3 CGPC Car"/>
    <w:basedOn w:val="Policepardfaut"/>
    <w:link w:val="Titre3"/>
    <w:uiPriority w:val="9"/>
    <w:rsid w:val="0039799E"/>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991323"/>
    <w:rPr>
      <w:rFonts w:ascii="Open Sans" w:eastAsiaTheme="majorEastAsia" w:hAnsi="Open Sans" w:cstheme="majorBidi"/>
      <w:b/>
      <w:bCs/>
      <w:iCs/>
      <w:color w:val="2F5496" w:themeColor="accent1" w:themeShade="BF"/>
      <w:sz w:val="36"/>
      <w:szCs w:val="21"/>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9F7286"/>
    <w:pPr>
      <w:tabs>
        <w:tab w:val="right" w:leader="dot" w:pos="10095"/>
      </w:tabs>
      <w:spacing w:after="100"/>
      <w:ind w:left="240" w:right="3779"/>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Paragraphedeliste">
    <w:name w:val="List Paragraph"/>
    <w:basedOn w:val="Normal"/>
    <w:uiPriority w:val="34"/>
    <w:qFormat/>
    <w:rsid w:val="0025678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143816520">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4939491">
      <w:bodyDiv w:val="1"/>
      <w:marLeft w:val="0"/>
      <w:marRight w:val="0"/>
      <w:marTop w:val="0"/>
      <w:marBottom w:val="0"/>
      <w:divBdr>
        <w:top w:val="none" w:sz="0" w:space="0" w:color="auto"/>
        <w:left w:val="none" w:sz="0" w:space="0" w:color="auto"/>
        <w:bottom w:val="none" w:sz="0" w:space="0" w:color="auto"/>
        <w:right w:val="none" w:sz="0" w:space="0" w:color="auto"/>
      </w:divBdr>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eres-group.com/fiches-pratiques/loi-pacte-et-plan-depargne-retraite-per-calendrier-legislatif-et-date-dapplicatio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hyperlink" Target="https://www.eres-group.com/fiches-pratiques/loi-pacte-et-plan-depargne-retraite-per-calendrier-legislatif-et-date-dapplicatio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3483A309-5CAC-4456-A657-E5DAC9C48A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273F0BA-9913-4B51-B2FA-A5BACE679837}">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BDE9685D-B088-4C78-B0D9-37410A3924B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346</TotalTime>
  <Pages>23</Pages>
  <Words>4373</Words>
  <Characters>24055</Characters>
  <Application>Microsoft Office Word</Application>
  <DocSecurity>0</DocSecurity>
  <Lines>200</Lines>
  <Paragraphs>56</Paragraphs>
  <ScaleCrop>false</ScaleCrop>
  <HeadingPairs>
    <vt:vector size="2" baseType="variant">
      <vt:variant>
        <vt:lpstr>Titre</vt:lpstr>
      </vt:variant>
      <vt:variant>
        <vt:i4>1</vt:i4>
      </vt:variant>
    </vt:vector>
  </HeadingPairs>
  <TitlesOfParts>
    <vt:vector size="1" baseType="lpstr">
      <vt:lpstr>Chapitre 4 : Du choix des modes de détention des actifs patrimoniaux</vt:lpstr>
    </vt:vector>
  </TitlesOfParts>
  <Manager>Raymond leban - CGPC Développement;</Manager>
  <Company>CGPC Développement</Company>
  <LinksUpToDate>false</LinksUpToDate>
  <CharactersWithSpaces>28372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4 : Du choix des modes de détention des actifs patrimoniaux</dc:title>
  <dc:subject/>
  <dc:creator>Raymond leban - CGPC Développement</dc:creator>
  <cp:keywords/>
  <dc:description/>
  <cp:lastModifiedBy>Raymond Leban</cp:lastModifiedBy>
  <cp:revision>185</cp:revision>
  <cp:lastPrinted>2024-12-18T13:27:00Z</cp:lastPrinted>
  <dcterms:created xsi:type="dcterms:W3CDTF">2024-01-12T09:05:00Z</dcterms:created>
  <dcterms:modified xsi:type="dcterms:W3CDTF">2026-02-06T09:22:00Z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